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0D8AE" w14:textId="77777777" w:rsidR="00D2195D" w:rsidRDefault="00D2195D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8564E7" w14:textId="4104E57F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konkursie do d</w:t>
      </w:r>
      <w:r w:rsidR="00397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ziałania 2.3, poddziałanie 2.3.5</w:t>
      </w: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POIR w </w:t>
      </w:r>
      <w:r w:rsidR="00FD5E99"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 w:rsidR="00FD5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FD5E99"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14:paraId="587CC384" w14:textId="73E51752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Polska Agencja Rozwoju Przedsiębiorczości </w:t>
      </w:r>
      <w:r w:rsidRPr="00C874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(PARP)</w:t>
      </w:r>
      <w:r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Pańska 81/83, 00-834 Warszawa </w:t>
      </w:r>
      <w:r w:rsidRPr="00C874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jako Instytucja Pośrednicząca dla działania 2.3: </w:t>
      </w:r>
      <w:r w:rsidRPr="00C87424">
        <w:rPr>
          <w:rFonts w:ascii="Times New Roman" w:eastAsia="Times New Roman" w:hAnsi="Times New Roman" w:cs="Times New Roman"/>
          <w:sz w:val="24"/>
          <w:szCs w:val="24"/>
        </w:rPr>
        <w:t>Proinnowacyjne usługi dla przedsiębiorstw</w:t>
      </w:r>
      <w:r w:rsidR="00397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poddziałania 2.3.5</w:t>
      </w:r>
      <w:r w:rsidRPr="00C874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Design dla przedsiębiorców </w:t>
      </w:r>
      <w:r w:rsidRPr="00C874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Osi priorytetowej: </w:t>
      </w:r>
      <w:r w:rsidRPr="00C87424">
        <w:rPr>
          <w:rFonts w:ascii="Times New Roman" w:eastAsia="Times New Roman" w:hAnsi="Times New Roman" w:cs="Times New Roman"/>
          <w:sz w:val="24"/>
          <w:szCs w:val="24"/>
        </w:rPr>
        <w:t>Wsparcie otoczenia i potencjału przedsiębiorstw do prowadzenia działalności B+R+I</w:t>
      </w:r>
      <w:r w:rsidRPr="00C874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Programu Operacyjnego Inteligentny Rozwój 2014 - 2020</w:t>
      </w:r>
      <w:r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 na podstawie art. 40 ustawy z dnia 11 lipca 2014 r. </w:t>
      </w:r>
      <w:r w:rsidRPr="00C874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 zasadach realizacji programów w zakresie polityki spójności finansowanych w perspektywie finansowej 2014-2020 </w:t>
      </w:r>
      <w:r w:rsidRPr="00C87424">
        <w:rPr>
          <w:rFonts w:ascii="Times New Roman" w:eastAsia="Calibri" w:hAnsi="Times New Roman" w:cs="Times New Roman"/>
          <w:sz w:val="24"/>
          <w:szCs w:val="24"/>
        </w:rPr>
        <w:t>(</w:t>
      </w:r>
      <w:r w:rsidR="002D616E" w:rsidRPr="002D616E">
        <w:rPr>
          <w:rFonts w:ascii="Times New Roman" w:eastAsia="Calibri" w:hAnsi="Times New Roman" w:cs="Times New Roman"/>
          <w:sz w:val="24"/>
          <w:szCs w:val="24"/>
        </w:rPr>
        <w:t>Dz. U. z 2018 r. poz. 1431</w:t>
      </w:r>
      <w:r w:rsidR="002D616E">
        <w:rPr>
          <w:rFonts w:ascii="Times New Roman" w:eastAsia="Calibri" w:hAnsi="Times New Roman" w:cs="Times New Roman"/>
          <w:sz w:val="24"/>
          <w:szCs w:val="24"/>
        </w:rPr>
        <w:t>)</w:t>
      </w:r>
      <w:r w:rsidR="002D616E" w:rsidRPr="002D616E">
        <w:rPr>
          <w:rFonts w:ascii="Times New Roman" w:eastAsia="Calibri" w:hAnsi="Times New Roman" w:cs="Times New Roman"/>
          <w:sz w:val="24"/>
          <w:szCs w:val="24"/>
        </w:rPr>
        <w:t>,</w:t>
      </w: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konkurs na dofinansowanie projektów w ramach działania 2.3: Proinnowacyjne usługi dla pr</w:t>
      </w:r>
      <w:r w:rsidR="00397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zedsiębiorstw poddziałania 2.3.5</w:t>
      </w:r>
      <w:r w:rsidR="00496F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97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Design dla przedsiębiorców</w:t>
      </w:r>
      <w:r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657160" w14:textId="58B75B72" w:rsidR="00C87424" w:rsidRPr="00C87424" w:rsidRDefault="00C87424" w:rsidP="00C8742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Wniosek o dofinansowanie projektu należy złożyć wyłącznie w wersji elektronicznej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br/>
        <w:t>za pośrednictwem Generatora Wniosków udostępnionego za pośrednictwem strony internetowej PARP (link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vertAlign w:val="superscript"/>
          <w:lang w:eastAsia="pl-PL"/>
        </w:rPr>
        <w:footnoteReference w:id="1"/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) w terminie</w:t>
      </w:r>
      <w:r w:rsid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 od </w:t>
      </w:r>
      <w:r w:rsidR="00FD5E99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4 marca</w:t>
      </w:r>
      <w:r w:rsid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</w:t>
      </w:r>
      <w:r w:rsidR="00FD5E99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2019 </w:t>
      </w:r>
      <w:r w:rsid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r. do 31</w:t>
      </w: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 </w:t>
      </w:r>
      <w:r w:rsidR="00FD5E99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maja</w:t>
      </w:r>
      <w:r w:rsidR="00FD5E99"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201</w:t>
      </w:r>
      <w:r w:rsidR="00FD5E99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9</w:t>
      </w:r>
      <w:r w:rsidR="00FD5E99"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</w:t>
      </w: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r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. 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br/>
        <w:t>(w ostatnim dniu naboru do godz. 16:00:00), z zastrzeżeniem, że konkurs podzielony jest na rundy.</w:t>
      </w:r>
    </w:p>
    <w:p w14:paraId="5FBB4238" w14:textId="77777777" w:rsidR="00C87424" w:rsidRPr="00C87424" w:rsidRDefault="00C87424" w:rsidP="00C8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</w:p>
    <w:p w14:paraId="2DE85016" w14:textId="77777777" w:rsidR="00C87424" w:rsidRDefault="00C87424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Wnioski o dofinansowanie mogą być składane w następujących terminach: </w:t>
      </w:r>
    </w:p>
    <w:p w14:paraId="44552B7E" w14:textId="77777777" w:rsidR="00397C7D" w:rsidRPr="00C87424" w:rsidRDefault="00397C7D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724FE7" w14:textId="0FE2E294" w:rsidR="00397C7D" w:rsidRPr="00397C7D" w:rsidRDefault="00397C7D" w:rsidP="00397C7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rundy I  – od 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4 marca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15 kwietnia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r.;</w:t>
      </w:r>
    </w:p>
    <w:p w14:paraId="466FFD33" w14:textId="2125C2D1" w:rsidR="00397C7D" w:rsidRPr="00397C7D" w:rsidRDefault="00397C7D" w:rsidP="00397C7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rundy II – od 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16 kwietnia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FD5E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D5E99"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r.;</w:t>
      </w:r>
    </w:p>
    <w:p w14:paraId="3CF9DBAC" w14:textId="77777777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Calibri" w:eastAsia="Times New Roman" w:hAnsi="Calibri" w:cs="Times New Roman"/>
          <w:bCs/>
          <w:color w:val="262625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projektów podlegających dofinansowaniu</w:t>
      </w:r>
    </w:p>
    <w:p w14:paraId="586D261B" w14:textId="77777777" w:rsidR="00397C7D" w:rsidRPr="00397C7D" w:rsidRDefault="00397C7D" w:rsidP="00397C7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 mogą otrzymać  projekty dotyczące realizacji następujących działań:</w:t>
      </w:r>
    </w:p>
    <w:p w14:paraId="6E5BC4BB" w14:textId="77777777" w:rsidR="00397C7D" w:rsidRPr="00397C7D" w:rsidRDefault="00397C7D" w:rsidP="00397C7D">
      <w:pPr>
        <w:numPr>
          <w:ilvl w:val="1"/>
          <w:numId w:val="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doradztwa polegającego na przeprowadzeniu profesjonalnego procesu projektowego mającego na celu opracowanie nowego projektu wzorniczego, dzięki któremu wdrożony zostanie nowy lub znacząco ulepszony produkt (komponent obligatoryjny projektu),</w:t>
      </w:r>
    </w:p>
    <w:p w14:paraId="51971B7D" w14:textId="77777777" w:rsidR="00397C7D" w:rsidRPr="00397C7D" w:rsidRDefault="00397C7D" w:rsidP="00397C7D">
      <w:pPr>
        <w:numPr>
          <w:ilvl w:val="1"/>
          <w:numId w:val="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niezbędnego doradztwa w zakresie wdrożenia nowego lub znacząco ulepszonego produktu (komponent fakultatywny projektu),</w:t>
      </w:r>
    </w:p>
    <w:p w14:paraId="2D06776F" w14:textId="77777777" w:rsidR="00397C7D" w:rsidRPr="00397C7D" w:rsidRDefault="00397C7D" w:rsidP="00397C7D">
      <w:pPr>
        <w:pStyle w:val="Akapitzlist"/>
        <w:numPr>
          <w:ilvl w:val="1"/>
          <w:numId w:val="2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inwestycji </w:t>
      </w:r>
      <w:r w:rsidR="00D219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początkowej </w:t>
      </w:r>
      <w:r w:rsidRPr="00397C7D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niezbędnej do wdrożenia nowego lub znacząco ulepszonego produktu (komponent fakultatywny projektu).</w:t>
      </w:r>
    </w:p>
    <w:p w14:paraId="6C209BD0" w14:textId="77777777" w:rsidR="00C87424" w:rsidRPr="00397C7D" w:rsidRDefault="00C87424" w:rsidP="00397C7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397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podmiotów mogących ubiegać się o dofinansowanie</w:t>
      </w:r>
    </w:p>
    <w:p w14:paraId="3A066722" w14:textId="6C213722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O dofinansowanie w ramach konkursu mogą ubiegać się wyłącznie podmioty spełniające kryteria </w:t>
      </w:r>
      <w:r w:rsidR="0058778B"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mikro</w:t>
      </w:r>
      <w:r w:rsidR="0058778B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-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, małego lub średniego przedsiębiorcy</w:t>
      </w: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vertAlign w:val="superscript"/>
          <w:lang w:eastAsia="pl-PL"/>
        </w:rPr>
        <w:footnoteReference w:id="2"/>
      </w:r>
      <w:r w:rsid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i </w:t>
      </w:r>
      <w:r w:rsidR="0058778B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prowadząc</w:t>
      </w:r>
      <w:r w:rsidR="0058778B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e</w:t>
      </w:r>
      <w:r w:rsidR="0058778B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działalność gospodarczą na terytorium Rzeczypospolitej Polskiej (z wyłączeniem 5 regionów Polski Wschodniej)</w:t>
      </w:r>
      <w:r w:rsidR="0058778B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,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 potwierdzoną wpisem do</w:t>
      </w:r>
      <w:r w:rsidR="00E74EB7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odpowiedniego rejestru,</w:t>
      </w:r>
      <w:r w:rsidR="00F570E5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 w:rsidR="0058778B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których</w:t>
      </w:r>
      <w:r w:rsidR="00E74EB7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siedziba oraz oddziały (w przypadku przedsiębiorców ujętych w Centralnej, Ewidencji i Informacji Działalności Gospodarczej adresy wykonywania działalności gospodarczej) nie mieszczą się na terytorium 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lastRenderedPageBreak/>
        <w:t>województw Polski Wschodniej</w:t>
      </w:r>
      <w:r w:rsidR="000052E8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, tj. </w:t>
      </w:r>
      <w:r w:rsidR="000052E8">
        <w:t>województw:</w:t>
      </w:r>
      <w:r w:rsidR="000052E8" w:rsidRPr="00C34782">
        <w:rPr>
          <w:sz w:val="20"/>
          <w:szCs w:val="20"/>
        </w:rPr>
        <w:t xml:space="preserve"> </w:t>
      </w:r>
      <w:r w:rsidR="000052E8" w:rsidRPr="002D6CF2">
        <w:t>lubelskiego, podlaskiego, podkarpackiego, świętokrzyskiego i warmińsko-mazurskiego</w:t>
      </w:r>
      <w:r w:rsidR="000052E8">
        <w:t>.</w:t>
      </w:r>
      <w:r w:rsidR="00397C7D" w:rsidRPr="00397C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.</w:t>
      </w:r>
    </w:p>
    <w:p w14:paraId="22AF64D6" w14:textId="77777777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Kwota środków przeznaczona na dofinansowanie projektów:</w:t>
      </w:r>
    </w:p>
    <w:p w14:paraId="3DBC2548" w14:textId="07AB3F3D" w:rsidR="00391F9D" w:rsidRPr="00391F9D" w:rsidRDefault="00391F9D" w:rsidP="00391F9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391F9D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- zlokalizowanych w województwie mazowieckim – </w:t>
      </w:r>
      <w:r w:rsidR="009F4616" w:rsidRPr="009F4616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6 215 696,00 </w:t>
      </w:r>
      <w:r w:rsidRPr="00391F9D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zł</w:t>
      </w:r>
    </w:p>
    <w:p w14:paraId="75EF1631" w14:textId="7BCD7CBA" w:rsidR="00391F9D" w:rsidRPr="00391F9D" w:rsidRDefault="00391F9D" w:rsidP="00391F9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391F9D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- zlokalizowanych w województwach innych niż mazowieckie - </w:t>
      </w:r>
      <w:r w:rsidR="00FD5E99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46 485</w:t>
      </w:r>
      <w:r w:rsidRPr="00391F9D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 000,00 zł</w:t>
      </w:r>
    </w:p>
    <w:p w14:paraId="70334A3D" w14:textId="1536E7CE" w:rsidR="00C87424" w:rsidRPr="00397C7D" w:rsidRDefault="00C87424" w:rsidP="0064356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Minimalna wartość kosztów </w:t>
      </w:r>
      <w:bookmarkStart w:id="0" w:name="_GoBack"/>
      <w:bookmarkEnd w:id="0"/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kwalifikowalnych projektu wynosi 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60</w:t>
      </w:r>
      <w:r w:rsidR="0058778B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 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000</w:t>
      </w:r>
      <w:r w:rsidR="0058778B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,00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zł, </w:t>
      </w:r>
      <w:r w:rsidR="00397C7D" w:rsidRPr="00397C7D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z zastrzeżeniem, że dotyczy wydatków w ramach usług doradczych związanych z opracowaniem lub wdrożeniem nowego lub znacząco ulepszonego produktu </w:t>
      </w:r>
    </w:p>
    <w:p w14:paraId="7AB3EA7C" w14:textId="7667839A" w:rsidR="00397C7D" w:rsidRPr="00685357" w:rsidRDefault="00C87424" w:rsidP="00397C7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Maksymalna 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wartości kosztów kwalifikowanych w ramach poddziałania tj. </w:t>
      </w:r>
      <w:r w:rsidR="0058778B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br/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1 500</w:t>
      </w:r>
      <w:r w:rsid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 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000</w:t>
      </w:r>
      <w:r w:rsid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,00</w:t>
      </w:r>
      <w:r w:rsidR="00397C7D" w:rsidRPr="00397C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zł </w:t>
      </w:r>
      <w:r w:rsidR="00397C7D" w:rsidRPr="00685357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(w tym: maksymalnie na usługi doradcze związane z opracowaniem lub wdrożeniem nowego lub znacząco ulepszonego wyrobu lub usługi 500 000,00 zł oraz maksymalnie do 1 000 000,00 zł na inwestycję)</w:t>
      </w:r>
      <w:r w:rsidR="0058778B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.</w:t>
      </w:r>
    </w:p>
    <w:p w14:paraId="63379FA4" w14:textId="77777777" w:rsidR="00397C7D" w:rsidRPr="00C87424" w:rsidRDefault="00397C7D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</w:p>
    <w:p w14:paraId="67F43583" w14:textId="77777777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Maksymalna intensywność dofinansowania wynosi:</w:t>
      </w:r>
    </w:p>
    <w:p w14:paraId="1EB5C1C0" w14:textId="77777777" w:rsidR="00C87424" w:rsidRPr="00C87424" w:rsidRDefault="00B00495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</w:t>
      </w:r>
      <w:r w:rsidR="00C87424" w:rsidRPr="00C8742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usług proinnowacyjnych:</w:t>
      </w:r>
    </w:p>
    <w:p w14:paraId="3DD6B073" w14:textId="77777777" w:rsidR="00C87424" w:rsidRPr="00C87424" w:rsidRDefault="00397C7D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- 85</w:t>
      </w:r>
      <w:r w:rsidR="00C87424" w:rsidRPr="00C8742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% kosztów kwalifikowalnych </w:t>
      </w:r>
      <w:r w:rsidRPr="00397C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na usługi doradcze związane z opracowaniem lub wdrożeniem nowego lub znacząco ulepszonego wyrobu lub usługi lub nowego projektu wzorniczego</w:t>
      </w:r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C87424" w:rsidRPr="00C8742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03C137A" w14:textId="77777777" w:rsidR="006A1CD4" w:rsidRDefault="006A1CD4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 zakresie inwestycji początkowej:</w:t>
      </w:r>
    </w:p>
    <w:p w14:paraId="4BC41825" w14:textId="77777777" w:rsidR="00C87424" w:rsidRPr="00C87424" w:rsidRDefault="00397C7D" w:rsidP="00C87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en-GB"/>
        </w:rPr>
        <w:t>zgodna z mapą pomocy regionalnej.</w:t>
      </w:r>
    </w:p>
    <w:p w14:paraId="3CDF21C7" w14:textId="77777777" w:rsidR="00C87424" w:rsidRPr="00C87424" w:rsidRDefault="00C87424" w:rsidP="003B2C93">
      <w:pPr>
        <w:shd w:val="clear" w:color="auto" w:fill="FFFFFF"/>
        <w:spacing w:before="120" w:after="135" w:line="270" w:lineRule="atLeast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kosztów kwalifikujących się do dofinansowania</w:t>
      </w:r>
    </w:p>
    <w:p w14:paraId="72D983D8" w14:textId="01518FC1" w:rsidR="00C87424" w:rsidRPr="00C87424" w:rsidRDefault="00D949E2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Dofinansowaniu podlegać będą projekty dotyczące zakupu usług doradczych związanych z </w:t>
      </w:r>
      <w:r w:rsidRPr="00B9326D">
        <w:rPr>
          <w:rFonts w:ascii="Times New Roman" w:hAnsi="Times New Roman" w:cs="Times New Roman"/>
          <w:sz w:val="24"/>
          <w:szCs w:val="24"/>
        </w:rPr>
        <w:t>przeprowadzeniem profesjonalnego procesu projektowego mającego na celu opracowanie nowego projektu wzorniczego, dzięki któremu wdrożony zostanie nowy lub znacząco ulepszony produkt oraz  nastąpi wprowadzenie go na rynek</w:t>
      </w:r>
      <w:r w:rsidRPr="00B93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 Dodatkowo wsparcie może obejmować realizację inwestycji niezbędnej do wdrożenia ww. nowego lub znacząco ulepszonego produktu.</w:t>
      </w:r>
      <w:r w:rsidR="005C68AA" w:rsidRPr="00B93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87424" w:rsidRPr="005C68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Szczegółowe informacje na temat kosztów podlegających dofinansowaniu </w:t>
      </w:r>
      <w:r w:rsidR="00397C7D" w:rsidRPr="005C68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znajdują się </w:t>
      </w:r>
      <w:r w:rsidR="00C87424" w:rsidRPr="005C68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Regulaminie konkursu, w szczególności w § 5. </w:t>
      </w:r>
    </w:p>
    <w:p w14:paraId="1DA3DA2D" w14:textId="77777777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przeprowadzania konkursu</w:t>
      </w:r>
    </w:p>
    <w:p w14:paraId="31F5A89F" w14:textId="77777777" w:rsidR="00C87424" w:rsidRP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color w:val="262625"/>
          <w:sz w:val="24"/>
          <w:szCs w:val="24"/>
          <w:shd w:val="clear" w:color="auto" w:fill="FFFFFF"/>
          <w:lang w:eastAsia="pl-PL"/>
        </w:rPr>
        <w:t>Szczegółowe informacje na temat zasad wyboru projektów oraz przeprowadzania konkursu znajdują się w Regulaminie konkursu.</w:t>
      </w:r>
    </w:p>
    <w:p w14:paraId="38529F0C" w14:textId="5ADE085F" w:rsidR="00C87424" w:rsidRDefault="00C87424" w:rsidP="00C874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bCs/>
          <w:i/>
          <w:color w:val="262625"/>
          <w:sz w:val="24"/>
          <w:szCs w:val="24"/>
          <w:lang w:eastAsia="pl-PL"/>
        </w:rPr>
      </w:pPr>
      <w:r w:rsidRPr="00C87424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Pełna dokumentacja konkursu </w:t>
      </w:r>
    </w:p>
    <w:p w14:paraId="75F353B2" w14:textId="2E019660" w:rsidR="00C87424" w:rsidRPr="00C87424" w:rsidRDefault="00EA0BB6" w:rsidP="00C8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BB6">
        <w:rPr>
          <w:rFonts w:ascii="Times New Roman" w:eastAsia="Times New Roman" w:hAnsi="Times New Roman" w:cs="Times New Roman"/>
          <w:bCs/>
          <w:color w:val="0563C1" w:themeColor="hyperlink"/>
          <w:sz w:val="24"/>
          <w:szCs w:val="24"/>
          <w:u w:val="single"/>
          <w:lang w:eastAsia="pl-PL"/>
        </w:rPr>
        <w:t>https://www.parp.gov.pl/component/grants/grants/design-dla-przedsiebiorcow</w:t>
      </w:r>
      <w:r w:rsidRPr="00EA0BB6" w:rsidDel="00EA0BB6">
        <w:rPr>
          <w:rFonts w:ascii="Times New Roman" w:eastAsia="Times New Roman" w:hAnsi="Times New Roman" w:cs="Times New Roman"/>
          <w:bCs/>
          <w:color w:val="0563C1" w:themeColor="hyperlink"/>
          <w:sz w:val="24"/>
          <w:szCs w:val="24"/>
          <w:u w:val="single"/>
          <w:lang w:eastAsia="pl-PL"/>
        </w:rPr>
        <w:t xml:space="preserve"> </w:t>
      </w:r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 na pytania dotyczące procedury wyboru projektów oraz składania wniosków o dofinansowanie w ramach poddziałania (FAQ) znajdują się na stronie poddziałania. Ewentualne pytania można przesyłać za pośrednictwem formularza kontaktowego dostępnego na stronie poddziałania. Wyjaśnień dotyczących konkursu udziela również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Infolinia</w:t>
      </w:r>
      <w:r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PARP odpowiadając na pytania kierowane na adres poczty elektronicznej: </w:t>
      </w:r>
      <w:hyperlink r:id="rId8" w:history="1">
        <w:r w:rsidR="00C87424" w:rsidRPr="00C874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info@parp.gov.pl</w:t>
        </w:r>
      </w:hyperlink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telefonicznie pod numerami </w:t>
      </w:r>
      <w:r w:rsidRPr="00EA0BB6">
        <w:rPr>
          <w:rFonts w:ascii="Times New Roman" w:eastAsia="Times New Roman" w:hAnsi="Times New Roman" w:cs="Times New Roman"/>
          <w:sz w:val="24"/>
          <w:szCs w:val="24"/>
          <w:lang w:eastAsia="pl-PL"/>
        </w:rPr>
        <w:t>22 574 07 07 lub 0 801 332 202</w:t>
      </w:r>
      <w:r w:rsidR="00C87424" w:rsidRPr="00C8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2DECA94" w14:textId="77777777" w:rsidR="00C028F6" w:rsidRDefault="00C028F6"/>
    <w:sectPr w:rsidR="00C028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7F9D4" w14:textId="77777777" w:rsidR="00FD01AC" w:rsidRDefault="00FD01AC" w:rsidP="00C87424">
      <w:pPr>
        <w:spacing w:after="0" w:line="240" w:lineRule="auto"/>
      </w:pPr>
      <w:r>
        <w:separator/>
      </w:r>
    </w:p>
  </w:endnote>
  <w:endnote w:type="continuationSeparator" w:id="0">
    <w:p w14:paraId="02A4A53F" w14:textId="77777777" w:rsidR="00FD01AC" w:rsidRDefault="00FD01AC" w:rsidP="00C8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ED0EB" w14:textId="77777777" w:rsidR="00FD01AC" w:rsidRDefault="00FD01AC" w:rsidP="00C87424">
      <w:pPr>
        <w:spacing w:after="0" w:line="240" w:lineRule="auto"/>
      </w:pPr>
      <w:r>
        <w:separator/>
      </w:r>
    </w:p>
  </w:footnote>
  <w:footnote w:type="continuationSeparator" w:id="0">
    <w:p w14:paraId="58862002" w14:textId="77777777" w:rsidR="00FD01AC" w:rsidRDefault="00FD01AC" w:rsidP="00C87424">
      <w:pPr>
        <w:spacing w:after="0" w:line="240" w:lineRule="auto"/>
      </w:pPr>
      <w:r>
        <w:continuationSeparator/>
      </w:r>
    </w:p>
  </w:footnote>
  <w:footnote w:id="1">
    <w:p w14:paraId="7BDD0561" w14:textId="73C5F376" w:rsidR="00C87424" w:rsidRPr="00235877" w:rsidRDefault="00C87424" w:rsidP="00C87424">
      <w:pPr>
        <w:pStyle w:val="Footnot1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5877">
        <w:rPr>
          <w:sz w:val="16"/>
          <w:szCs w:val="16"/>
        </w:rPr>
        <w:t xml:space="preserve">Link </w:t>
      </w:r>
      <w:r w:rsidRPr="00235877">
        <w:rPr>
          <w:color w:val="262625"/>
          <w:sz w:val="16"/>
          <w:szCs w:val="16"/>
        </w:rPr>
        <w:t>do Generato</w:t>
      </w:r>
      <w:r w:rsidRPr="00E94BCD">
        <w:rPr>
          <w:color w:val="262625"/>
          <w:sz w:val="16"/>
          <w:szCs w:val="16"/>
        </w:rPr>
        <w:t xml:space="preserve">ra Wniosków będzie aktywny od </w:t>
      </w:r>
      <w:r w:rsidR="00E45C42" w:rsidRPr="00E45C42">
        <w:rPr>
          <w:color w:val="262625"/>
          <w:sz w:val="16"/>
          <w:szCs w:val="16"/>
        </w:rPr>
        <w:t>4 marca</w:t>
      </w:r>
      <w:r w:rsidRPr="00E45C42">
        <w:rPr>
          <w:color w:val="262625"/>
          <w:sz w:val="16"/>
          <w:szCs w:val="16"/>
        </w:rPr>
        <w:t xml:space="preserve"> 201</w:t>
      </w:r>
      <w:r w:rsidR="00E45C42" w:rsidRPr="00E45C42">
        <w:rPr>
          <w:color w:val="262625"/>
          <w:sz w:val="16"/>
          <w:szCs w:val="16"/>
        </w:rPr>
        <w:t>9</w:t>
      </w:r>
      <w:r w:rsidRPr="00E45C42">
        <w:rPr>
          <w:color w:val="262625"/>
          <w:sz w:val="16"/>
          <w:szCs w:val="16"/>
        </w:rPr>
        <w:t xml:space="preserve"> r.</w:t>
      </w:r>
    </w:p>
  </w:footnote>
  <w:footnote w:id="2">
    <w:p w14:paraId="692448AE" w14:textId="77777777" w:rsidR="00C87424" w:rsidRPr="00930910" w:rsidRDefault="00C87424" w:rsidP="00C87424">
      <w:pPr>
        <w:pStyle w:val="Footnot1"/>
        <w:jc w:val="both"/>
        <w:rPr>
          <w:sz w:val="16"/>
          <w:szCs w:val="16"/>
        </w:rPr>
      </w:pPr>
      <w:r w:rsidRPr="002D2966">
        <w:rPr>
          <w:rStyle w:val="Odwoanieprzypisudolnego"/>
        </w:rPr>
        <w:footnoteRef/>
      </w:r>
      <w:r w:rsidRPr="002D2966">
        <w:t xml:space="preserve"> </w:t>
      </w:r>
      <w:r w:rsidRPr="002D2966">
        <w:rPr>
          <w:sz w:val="16"/>
          <w:szCs w:val="16"/>
        </w:rPr>
        <w:t>Określone w załączniku nr 1 do rozporządzenia Komisji (UE) Nr 651/2014 r. z dnia 17 czerwca 2014r. uznającego niektóre rodzaje pomocy za zgodne z rynkiem wewnętrznym w zastosowaniu art. 107 i 108 Traktatu (Dz. Urz. UE L 187 z 26.06.2014, str. 1</w:t>
      </w:r>
      <w:r>
        <w:rPr>
          <w:sz w:val="16"/>
          <w:szCs w:val="16"/>
        </w:rPr>
        <w:t xml:space="preserve">,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  <w:r w:rsidRPr="002D2966">
        <w:rPr>
          <w:sz w:val="16"/>
          <w:szCs w:val="16"/>
        </w:rPr>
        <w:t>).</w:t>
      </w:r>
    </w:p>
    <w:p w14:paraId="30053186" w14:textId="77777777" w:rsidR="00C87424" w:rsidRDefault="00C87424" w:rsidP="00C87424">
      <w:pPr>
        <w:pStyle w:val="Footnot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30F9" w14:textId="77777777" w:rsidR="00C87424" w:rsidRDefault="00C87424">
    <w:pPr>
      <w:pStyle w:val="Nagwek"/>
    </w:pPr>
    <w:r w:rsidRPr="00C87424">
      <w:rPr>
        <w:noProof/>
        <w:lang w:eastAsia="pl-PL"/>
      </w:rPr>
      <w:drawing>
        <wp:inline distT="0" distB="0" distL="0" distR="0" wp14:anchorId="7E159BB4" wp14:editId="1E03338A">
          <wp:extent cx="5760720" cy="626617"/>
          <wp:effectExtent l="0" t="0" r="0" b="2540"/>
          <wp:docPr id="1" name="Obraz 1" descr="http://intranet/SiteCollectionImages/Ksiega-Znaku-PARP-Grupa-PFR/Pasek-z-logami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64FCB"/>
    <w:multiLevelType w:val="hybridMultilevel"/>
    <w:tmpl w:val="E814D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85A22"/>
    <w:multiLevelType w:val="hybridMultilevel"/>
    <w:tmpl w:val="2EFAA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4695"/>
    <w:multiLevelType w:val="hybridMultilevel"/>
    <w:tmpl w:val="AC3C12D2"/>
    <w:lvl w:ilvl="0" w:tplc="BA584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814407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1074B"/>
    <w:multiLevelType w:val="hybridMultilevel"/>
    <w:tmpl w:val="A918942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24"/>
    <w:rsid w:val="000052E8"/>
    <w:rsid w:val="0000678A"/>
    <w:rsid w:val="0003620D"/>
    <w:rsid w:val="001A2EF3"/>
    <w:rsid w:val="002C4249"/>
    <w:rsid w:val="002D616E"/>
    <w:rsid w:val="0035079C"/>
    <w:rsid w:val="00364B13"/>
    <w:rsid w:val="00391F9D"/>
    <w:rsid w:val="00397C7D"/>
    <w:rsid w:val="003B0409"/>
    <w:rsid w:val="003B2C93"/>
    <w:rsid w:val="003E79C3"/>
    <w:rsid w:val="003E7EC9"/>
    <w:rsid w:val="00496FB9"/>
    <w:rsid w:val="0058778B"/>
    <w:rsid w:val="005C68AA"/>
    <w:rsid w:val="005F6E3A"/>
    <w:rsid w:val="00643566"/>
    <w:rsid w:val="00685357"/>
    <w:rsid w:val="006975AA"/>
    <w:rsid w:val="006A1CD4"/>
    <w:rsid w:val="006B03E4"/>
    <w:rsid w:val="007222B0"/>
    <w:rsid w:val="007415E5"/>
    <w:rsid w:val="007C48C9"/>
    <w:rsid w:val="00830568"/>
    <w:rsid w:val="00913488"/>
    <w:rsid w:val="009450A4"/>
    <w:rsid w:val="009F4616"/>
    <w:rsid w:val="00B00495"/>
    <w:rsid w:val="00B64095"/>
    <w:rsid w:val="00B9326D"/>
    <w:rsid w:val="00C028F6"/>
    <w:rsid w:val="00C87424"/>
    <w:rsid w:val="00CD11C4"/>
    <w:rsid w:val="00D2195D"/>
    <w:rsid w:val="00D27E6D"/>
    <w:rsid w:val="00D949E2"/>
    <w:rsid w:val="00E45C42"/>
    <w:rsid w:val="00E74EB7"/>
    <w:rsid w:val="00EA0BB6"/>
    <w:rsid w:val="00F04849"/>
    <w:rsid w:val="00F570E5"/>
    <w:rsid w:val="00FC4BDE"/>
    <w:rsid w:val="00FD01AC"/>
    <w:rsid w:val="00F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D9E8"/>
  <w15:docId w15:val="{03F86262-E66B-4B24-8102-4A118533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C87424"/>
    <w:rPr>
      <w:sz w:val="16"/>
      <w:szCs w:val="16"/>
    </w:rPr>
  </w:style>
  <w:style w:type="paragraph" w:customStyle="1" w:styleId="Znak1">
    <w:name w:val="Znak1"/>
    <w:basedOn w:val="Normalny"/>
    <w:next w:val="Tekstkomentarza"/>
    <w:link w:val="TekstkomentarzaZnak"/>
    <w:unhideWhenUsed/>
    <w:rsid w:val="00C8742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Znak1"/>
    <w:rsid w:val="00C87424"/>
    <w:rPr>
      <w:sz w:val="20"/>
      <w:szCs w:val="20"/>
    </w:rPr>
  </w:style>
  <w:style w:type="paragraph" w:customStyle="1" w:styleId="Footnot1">
    <w:name w:val="Footnot1"/>
    <w:basedOn w:val="Normalny"/>
    <w:next w:val="Tekstprzypisudolnego"/>
    <w:link w:val="TekstprzypisudolnegoZnak"/>
    <w:uiPriority w:val="99"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Footnot1"/>
    <w:uiPriority w:val="99"/>
    <w:rsid w:val="00C8742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C87424"/>
    <w:rPr>
      <w:vertAlign w:val="superscript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8742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C87424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8742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4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424"/>
  </w:style>
  <w:style w:type="paragraph" w:styleId="Stopka">
    <w:name w:val="footer"/>
    <w:basedOn w:val="Normalny"/>
    <w:link w:val="Stopka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424"/>
  </w:style>
  <w:style w:type="paragraph" w:styleId="Akapitzlist">
    <w:name w:val="List Paragraph"/>
    <w:basedOn w:val="Normalny"/>
    <w:uiPriority w:val="34"/>
    <w:qFormat/>
    <w:rsid w:val="00397C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5357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78B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587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96067-5B19-4A2F-8CBD-6A2D9B0B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Szwoch Andrzej</dc:creator>
  <cp:lastModifiedBy>Więcek Michał</cp:lastModifiedBy>
  <cp:revision>2</cp:revision>
  <dcterms:created xsi:type="dcterms:W3CDTF">2019-07-24T13:25:00Z</dcterms:created>
  <dcterms:modified xsi:type="dcterms:W3CDTF">2019-07-24T13:25:00Z</dcterms:modified>
</cp:coreProperties>
</file>