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9C883" w14:textId="38FE3CC7" w:rsidR="00E972AC" w:rsidRPr="007C3DA0" w:rsidRDefault="00CA64DC" w:rsidP="007C3DA0">
      <w:pPr>
        <w:pStyle w:val="Tytu"/>
      </w:pPr>
      <w:r w:rsidRPr="00055CF7">
        <w:rPr>
          <w:noProof/>
        </w:rPr>
        <w:drawing>
          <wp:anchor distT="0" distB="0" distL="114300" distR="114300" simplePos="0" relativeHeight="251658240" behindDoc="0" locked="0" layoutInCell="1" allowOverlap="1" wp14:anchorId="43434F7A" wp14:editId="22372CD1">
            <wp:simplePos x="0" y="0"/>
            <wp:positionH relativeFrom="margin">
              <wp:posOffset>31223</wp:posOffset>
            </wp:positionH>
            <wp:positionV relativeFrom="paragraph">
              <wp:posOffset>-756393</wp:posOffset>
            </wp:positionV>
            <wp:extent cx="5690235" cy="620395"/>
            <wp:effectExtent l="0" t="0" r="5715" b="8255"/>
            <wp:wrapNone/>
            <wp:docPr id="1" name="Obraz 1" descr="Logotypy: Fundusze Europejskie 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117" w:rsidRPr="007C3DA0">
        <w:t>Szacowanie wartości zamówienia na ekspercką usługę oceny zgłoszeń w konkursie „pracodawca jutra 2021”.</w:t>
      </w:r>
    </w:p>
    <w:p w14:paraId="1FC60A6F" w14:textId="7F76360E" w:rsidR="00B61039" w:rsidRPr="00055CF7" w:rsidRDefault="00E972AC" w:rsidP="008F266E">
      <w:pPr>
        <w:spacing w:before="360" w:after="360" w:line="360" w:lineRule="auto"/>
        <w:ind w:left="11" w:hanging="11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W związku z planowanym ogłoszeniem zamówienia Polska Agencja Rozwoju Przedsiębiorczości </w:t>
      </w:r>
      <w:r w:rsidR="007F35CF">
        <w:rPr>
          <w:rFonts w:asciiTheme="minorHAnsi" w:hAnsiTheme="minorHAnsi" w:cstheme="minorHAnsi"/>
          <w:szCs w:val="24"/>
        </w:rPr>
        <w:t xml:space="preserve">(PARP) </w:t>
      </w:r>
      <w:r w:rsidRPr="00055CF7">
        <w:rPr>
          <w:rFonts w:asciiTheme="minorHAnsi" w:hAnsiTheme="minorHAnsi" w:cstheme="minorHAnsi"/>
          <w:szCs w:val="24"/>
        </w:rPr>
        <w:t>zwraca się z prośbą o dokonanie szacunkowej wyceny poniższych elementów zamówienia.</w:t>
      </w:r>
    </w:p>
    <w:p w14:paraId="1B7CC1E2" w14:textId="10D6F7C2" w:rsidR="00B61039" w:rsidRPr="007F35CF" w:rsidRDefault="00B61039" w:rsidP="007F35CF">
      <w:pPr>
        <w:pStyle w:val="Nagwek1"/>
      </w:pPr>
      <w:r w:rsidRPr="007F35CF">
        <w:t xml:space="preserve">Podstawowe </w:t>
      </w:r>
      <w:r w:rsidR="00C348F5">
        <w:t>informacje</w:t>
      </w:r>
      <w:r w:rsidR="004C65CE" w:rsidRPr="007F35CF">
        <w:t>.</w:t>
      </w:r>
    </w:p>
    <w:p w14:paraId="6BCF5ED2" w14:textId="07BCC322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Przedmiotem szacowania jest stawka netto za ocenę 1 zgłoszenia konkursowego </w:t>
      </w:r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br/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 Konkursie „Pracodawca Jutra 2021”.</w:t>
      </w:r>
    </w:p>
    <w:p w14:paraId="4BEDC55B" w14:textId="07D8FCBB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Termin realizacji zamówienia: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listopad 2021 r. - styczeń 2022 r.</w:t>
      </w:r>
    </w:p>
    <w:p w14:paraId="0D758E29" w14:textId="77777777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b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Do złożenia wyceny na potrzeby określenia szacunkowej wartości zamówienia PARP zaprasza potencjalnych Wykonawców, w tym osoby fizyczne nie prowadzące działalności gospodarczej. </w:t>
      </w:r>
    </w:p>
    <w:p w14:paraId="71DB75B6" w14:textId="2472392B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Sz</w:t>
      </w:r>
      <w:r w:rsidR="00DD6BCB">
        <w:rPr>
          <w:rFonts w:asciiTheme="minorHAnsi" w:hAnsiTheme="minorHAnsi" w:cstheme="minorHAnsi"/>
          <w:b/>
          <w:color w:val="auto"/>
          <w:szCs w:val="24"/>
          <w:lang w:eastAsia="en-US"/>
        </w:rPr>
        <w:t>acunkową wycenę prosimy składać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wypełniając tabelę w pkt VI</w:t>
      </w:r>
      <w:r w:rsidRPr="00DD6BCB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DD6BCB" w:rsidRPr="00DD6BCB">
        <w:rPr>
          <w:rFonts w:asciiTheme="minorHAnsi" w:hAnsiTheme="minorHAnsi" w:cstheme="minorHAnsi"/>
          <w:color w:val="auto"/>
          <w:szCs w:val="24"/>
          <w:lang w:eastAsia="en-US"/>
        </w:rPr>
        <w:t>i</w:t>
      </w:r>
      <w:r w:rsidR="00DD6BCB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odsyłając </w:t>
      </w:r>
      <w:r w:rsidR="00DD6BCB">
        <w:rPr>
          <w:rFonts w:asciiTheme="minorHAnsi" w:hAnsiTheme="minorHAnsi" w:cstheme="minorHAnsi"/>
          <w:color w:val="auto"/>
          <w:szCs w:val="24"/>
          <w:lang w:eastAsia="en-US"/>
        </w:rPr>
        <w:t xml:space="preserve">ją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na adres e-mail </w:t>
      </w:r>
      <w:hyperlink r:id="rId9" w:history="1">
        <w:r w:rsidR="00DD6BCB" w:rsidRPr="00055CF7">
          <w:rPr>
            <w:rFonts w:asciiTheme="minorHAnsi" w:hAnsiTheme="minorHAnsi" w:cstheme="minorHAnsi"/>
            <w:b/>
            <w:szCs w:val="24"/>
          </w:rPr>
          <w:t>pracodawca_jutra@parp.gov.pl</w:t>
        </w:r>
      </w:hyperlink>
      <w:r w:rsidR="00DD6BCB" w:rsidRPr="00055CF7">
        <w:rPr>
          <w:rFonts w:asciiTheme="minorHAnsi" w:hAnsiTheme="minorHAnsi" w:cstheme="minorHAnsi"/>
          <w:szCs w:val="24"/>
        </w:rPr>
        <w:t xml:space="preserve"> </w:t>
      </w:r>
      <w:r w:rsidR="00DD6BCB">
        <w:rPr>
          <w:rFonts w:asciiTheme="minorHAnsi" w:hAnsiTheme="minorHAnsi" w:cstheme="minorHAnsi"/>
          <w:color w:val="auto"/>
          <w:szCs w:val="24"/>
          <w:lang w:eastAsia="en-US"/>
        </w:rPr>
        <w:t>do dnia 8 września 2021 r.</w:t>
      </w:r>
      <w:bookmarkStart w:id="0" w:name="_GoBack"/>
      <w:bookmarkEnd w:id="0"/>
    </w:p>
    <w:p w14:paraId="05D37950" w14:textId="4AF5D9DC" w:rsidR="000074B9" w:rsidRPr="007F35CF" w:rsidRDefault="000074B9" w:rsidP="007F35CF">
      <w:pPr>
        <w:pStyle w:val="Nagwek1"/>
      </w:pPr>
      <w:r w:rsidRPr="007F35CF">
        <w:t>Przedmiot szacowania</w:t>
      </w:r>
      <w:r w:rsidR="004C65CE" w:rsidRPr="007F35CF">
        <w:t>.</w:t>
      </w:r>
    </w:p>
    <w:p w14:paraId="2D344F54" w14:textId="77777777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highlight w:val="yellow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PARP przewiduje, że ostateczne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zlecenie może przyjąć jedną z dwóch form usługi:</w:t>
      </w:r>
    </w:p>
    <w:p w14:paraId="4AD4156B" w14:textId="2DB67769" w:rsidR="000074B9" w:rsidRPr="00055CF7" w:rsidRDefault="00246119" w:rsidP="000074B9">
      <w:pPr>
        <w:pStyle w:val="Akapitzlist"/>
        <w:numPr>
          <w:ilvl w:val="0"/>
          <w:numId w:val="27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Wariant A - </w:t>
      </w:r>
      <w:r w:rsidR="000074B9" w:rsidRPr="00055CF7">
        <w:rPr>
          <w:rFonts w:asciiTheme="minorHAnsi" w:hAnsiTheme="minorHAnsi" w:cstheme="minorHAnsi"/>
          <w:color w:val="auto"/>
          <w:szCs w:val="24"/>
          <w:lang w:eastAsia="en-US"/>
        </w:rPr>
        <w:t>zapewnienia przez Wykonawcę ekspertów oceniających zgłoszenia konkursowe wraz z obsługą ich pracy lub</w:t>
      </w:r>
    </w:p>
    <w:p w14:paraId="454683C9" w14:textId="5D970590" w:rsidR="000074B9" w:rsidRPr="00055CF7" w:rsidRDefault="00246119" w:rsidP="000074B9">
      <w:pPr>
        <w:pStyle w:val="Akapitzlist"/>
        <w:numPr>
          <w:ilvl w:val="0"/>
          <w:numId w:val="27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Wariant B - </w:t>
      </w:r>
      <w:r w:rsidR="000074B9" w:rsidRPr="00055CF7">
        <w:rPr>
          <w:rFonts w:asciiTheme="minorHAnsi" w:hAnsiTheme="minorHAnsi" w:cstheme="minorHAnsi"/>
          <w:color w:val="auto"/>
          <w:szCs w:val="24"/>
          <w:lang w:eastAsia="en-US"/>
        </w:rPr>
        <w:t>zapewnienie przez Wykonawcę oceny określonej liczby zgłoszeń konkursowych,</w:t>
      </w:r>
    </w:p>
    <w:p w14:paraId="3D3A8EA9" w14:textId="77777777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b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a zlecenie wykonania usługi (zakres zamówienia) obejmie:</w:t>
      </w:r>
    </w:p>
    <w:p w14:paraId="0A7FBEAB" w14:textId="77777777" w:rsidR="000074B9" w:rsidRPr="00055CF7" w:rsidRDefault="000074B9" w:rsidP="00246119">
      <w:pPr>
        <w:pStyle w:val="Akapitzlist"/>
        <w:numPr>
          <w:ilvl w:val="0"/>
          <w:numId w:val="41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lastRenderedPageBreak/>
        <w:t>ocenę formalną i ocenę merytoryczną I stopnia lub</w:t>
      </w:r>
    </w:p>
    <w:p w14:paraId="61C24E5B" w14:textId="77777777" w:rsidR="000074B9" w:rsidRPr="00055CF7" w:rsidRDefault="000074B9" w:rsidP="00246119">
      <w:pPr>
        <w:pStyle w:val="Akapitzlist"/>
        <w:numPr>
          <w:ilvl w:val="0"/>
          <w:numId w:val="41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ocenę merytoryczną I stopnia.</w:t>
      </w:r>
    </w:p>
    <w:p w14:paraId="4C77CF67" w14:textId="547D7296" w:rsidR="000074B9" w:rsidRPr="00055CF7" w:rsidRDefault="000074B9" w:rsidP="00246119">
      <w:pPr>
        <w:spacing w:before="360" w:after="240" w:line="360" w:lineRule="auto"/>
        <w:ind w:left="425" w:firstLine="0"/>
        <w:jc w:val="left"/>
        <w:rPr>
          <w:rFonts w:asciiTheme="minorHAnsi" w:hAnsiTheme="minorHAnsi" w:cstheme="minorHAnsi"/>
          <w:b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Wybór przedmiotu zamówienia dokonany będzie przez PARP w oparciu o oszacowanie wartości zamówienia i nastąpi na etapie wszczęcia postępowania o udzielenie zamówienia.</w:t>
      </w:r>
    </w:p>
    <w:p w14:paraId="2B5C8540" w14:textId="6F676555" w:rsidR="000074B9" w:rsidRPr="00055CF7" w:rsidRDefault="000074B9" w:rsidP="00246119">
      <w:pPr>
        <w:spacing w:before="360" w:after="240" w:line="360" w:lineRule="auto"/>
        <w:ind w:left="425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W pierwszym przypadku </w:t>
      </w:r>
      <w:r w:rsidR="00246119"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(Wariant A)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PARP podpisze umowę z jednym Wykonawcą, którego zadaniem będzie zapewnienie oceny ustalonej liczby zgłoszeń konkursowych (tj. oceny formalnej i merytorycznej </w:t>
      </w:r>
      <w:r w:rsidR="007F35CF">
        <w:rPr>
          <w:rFonts w:asciiTheme="minorHAnsi" w:hAnsiTheme="minorHAnsi" w:cstheme="minorHAnsi"/>
          <w:b/>
          <w:color w:val="auto"/>
          <w:szCs w:val="24"/>
          <w:lang w:eastAsia="en-US"/>
        </w:rPr>
        <w:t>pierwszego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stopnia lub wyłącznie oceny merytorycznej </w:t>
      </w:r>
      <w:r w:rsidR="007F35CF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pierwszego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stopnia) i całościowej obsługi pracy ekspertów.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PARP przekaże Wykonawcy zgłoszenia konkursowe do oceny, a Wykonawca w ciągu 3 dni roboczych od ich otrzymania przedstawi PARP informacje nt. kandydatów na ekspertów wraz z listą przyporządkowującą ich do poszczególnych zgłoszeń konkursowych. Ostateczną decyzję w kwestii przypisania ekspertów do poszczególnych zgłoszeń konkursowych podejmie PARP. PARP będzie dążyć do zlecenia Wykonawcy oceny wszystkich zgłoszeń konkursowych. </w:t>
      </w:r>
    </w:p>
    <w:p w14:paraId="1770B222" w14:textId="43EDB822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b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PARP zakłada, że w tegorocznej edycji Konkursu </w:t>
      </w:r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wpłynie do oceny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około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200 zgłoszeń konkursowych. Każde zgłoszenie konkursowe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będzie musiało być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ocenione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przez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dwóch ekspertów,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a więc w szacowaniu w pierwszym przypadku należy założyć, że do wykonania będzie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400 ocen,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przy czym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jeden ekspert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będzie mógł ocenić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maksymalnie 40 zgłoszeń konkursowych. </w:t>
      </w:r>
    </w:p>
    <w:p w14:paraId="7DC044DB" w14:textId="19B8B407" w:rsidR="00246119" w:rsidRPr="00055CF7" w:rsidRDefault="000074B9" w:rsidP="00246119">
      <w:pPr>
        <w:spacing w:before="360" w:after="240" w:line="360" w:lineRule="auto"/>
        <w:ind w:left="425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W drugim przypadku PARP </w:t>
      </w:r>
      <w:r w:rsidR="00246119"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(wariant B)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podpisze umowy z wieloma Wykonawcami.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Wykonawcami będą eksperci, których prace nadzorowane będą bezpośrednio przez PARP. Jedynym zadaniem Wykonawców będzie ocena zgłoszeń konkursowych (tj. ocena formalna i merytoryczna I stopnia lub wyłącznie ocena merytoryczna 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pierwszego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stopnia). PARP będzie dążyć do podpisania takiej ilości umów, aby gwarantowały one równoległą i terminową  ocenę wszystkich zgłoszeń konkursowych. Z tego względu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Wykonawcy będą zobowiązani do przeprowadzenia minimum 5 i maksymalnie 40 ocen zleconych przez PARP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. PARP, na podstawie informacji o doświadczeniu eksperta,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lastRenderedPageBreak/>
        <w:t>a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 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także biorąc pod uwagę liczbę zgłoszeń konkursowych oraz możliwości wywiązania się eksperta z oceny, przypisze mu określoną liczbę zgłoszeń konkursowych do oceny.</w:t>
      </w:r>
    </w:p>
    <w:p w14:paraId="4C2AE1EC" w14:textId="7464876E" w:rsidR="00B61039" w:rsidRPr="00055CF7" w:rsidRDefault="00B61039" w:rsidP="007F35CF">
      <w:pPr>
        <w:pStyle w:val="Nagwek1"/>
      </w:pPr>
      <w:r w:rsidRPr="00055CF7">
        <w:t xml:space="preserve">Wymagania dla </w:t>
      </w:r>
      <w:r w:rsidR="000074B9" w:rsidRPr="00055CF7">
        <w:t>ekspertów oceniających zgłoszenia</w:t>
      </w:r>
      <w:r w:rsidR="004C65CE" w:rsidRPr="00055CF7">
        <w:t>.</w:t>
      </w:r>
    </w:p>
    <w:p w14:paraId="728B1A82" w14:textId="67E0157A" w:rsidR="00B61039" w:rsidRPr="00055CF7" w:rsidRDefault="00B61039" w:rsidP="004B6DE7">
      <w:pPr>
        <w:spacing w:before="120" w:after="120" w:line="360" w:lineRule="auto"/>
        <w:ind w:left="11" w:firstLine="415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>Eksperci zaangażowani do oceny zgłoszeń konkursowych powinni legitymować się:</w:t>
      </w:r>
    </w:p>
    <w:p w14:paraId="5D84D6A6" w14:textId="31F82EC3" w:rsidR="00B61039" w:rsidRPr="00055CF7" w:rsidRDefault="004B6DE7" w:rsidP="00FF1C4A">
      <w:pPr>
        <w:pStyle w:val="Akapitzlist"/>
        <w:numPr>
          <w:ilvl w:val="0"/>
          <w:numId w:val="38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szCs w:val="24"/>
        </w:rPr>
        <w:t>w</w:t>
      </w:r>
      <w:r w:rsidR="00B61039" w:rsidRPr="00055CF7">
        <w:rPr>
          <w:rFonts w:asciiTheme="minorHAnsi" w:hAnsiTheme="minorHAnsi" w:cstheme="minorHAnsi"/>
          <w:szCs w:val="24"/>
        </w:rPr>
        <w:t>ykształceniem wyższym,</w:t>
      </w:r>
    </w:p>
    <w:p w14:paraId="4C2B8E06" w14:textId="6ACDDA70" w:rsidR="00B61039" w:rsidRPr="00055CF7" w:rsidRDefault="00B61039" w:rsidP="00FF1C4A">
      <w:pPr>
        <w:pStyle w:val="Akapitzlist"/>
        <w:numPr>
          <w:ilvl w:val="0"/>
          <w:numId w:val="38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wiedzą z zakresu możliwych form współpracy przedsiębiorców z instytucjami edukacyjnymi dopuszczanymi przez przepisy prawa (w szczególności prawo oświatowe, prawo o szkolnictwie wyższym i nauce, prawo pracy, przepisy dotyczące rynku pracy – ustawa o promocji zatrudnienia i instytucjach rynku pracy – i Zintegrowanego Systemu Kwalifikacji),</w:t>
      </w:r>
    </w:p>
    <w:p w14:paraId="3DF44F5A" w14:textId="4B33283E" w:rsidR="00B61039" w:rsidRPr="00055CF7" w:rsidRDefault="00B61039" w:rsidP="00FF1C4A">
      <w:pPr>
        <w:pStyle w:val="Akapitzlist"/>
        <w:numPr>
          <w:ilvl w:val="0"/>
          <w:numId w:val="38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wiedzą o inicjatywach współpracy podejmowanych przez przedsięb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 xml:space="preserve">iorców 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br/>
        <w:t>i instytucje edukacyjne.</w:t>
      </w:r>
    </w:p>
    <w:p w14:paraId="6094FAFF" w14:textId="5117BFD9" w:rsidR="00B61039" w:rsidRPr="00055CF7" w:rsidRDefault="007F35CF" w:rsidP="00FF1C4A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Cs w:val="24"/>
          <w:lang w:eastAsia="en-US"/>
        </w:rPr>
        <w:t>D</w:t>
      </w:r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>odatkowym atutem będzie:</w:t>
      </w:r>
    </w:p>
    <w:p w14:paraId="4E6DF788" w14:textId="6B290B21" w:rsidR="00B61039" w:rsidRPr="00055CF7" w:rsidRDefault="00B61039" w:rsidP="00FF1C4A">
      <w:pPr>
        <w:pStyle w:val="Akapitzlist"/>
        <w:numPr>
          <w:ilvl w:val="0"/>
          <w:numId w:val="39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doświadczenie nie starsze niż 5 lat w ocenie min. 20 projektów/zgłoszeń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br/>
        <w:t>w konkursach (w tym także tych finansowanych ze środków publicznych) dot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yczących inicjatyw edukacyjnych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lub</w:t>
      </w:r>
    </w:p>
    <w:p w14:paraId="6BBDEFA6" w14:textId="35ACD206" w:rsidR="00B61039" w:rsidRPr="00055CF7" w:rsidRDefault="00B61039" w:rsidP="00FF1C4A">
      <w:pPr>
        <w:pStyle w:val="Akapitzlist"/>
        <w:numPr>
          <w:ilvl w:val="0"/>
          <w:numId w:val="39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minimum 3-letnie doświadczenie we wdrażaniu lub ocenie lu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 xml:space="preserve">b upowszechniania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projektów/ inicjatyw z zakresu społecznej odpow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iedzialności biznesu (tzw. CSR)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lub</w:t>
      </w:r>
    </w:p>
    <w:p w14:paraId="709FABF0" w14:textId="0FCD2D31" w:rsidR="00B61039" w:rsidRPr="00055CF7" w:rsidRDefault="00B61039" w:rsidP="00FF1C4A">
      <w:pPr>
        <w:pStyle w:val="Akapitzlist"/>
        <w:numPr>
          <w:ilvl w:val="0"/>
          <w:numId w:val="39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wiedza nt. zakresów kompetencyjnych i decyzyjnych instytucji odpowiedzialnych za edukację zawodową na 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poziomie regionalnym i lokalnym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lub</w:t>
      </w:r>
    </w:p>
    <w:p w14:paraId="3894011C" w14:textId="1AD73DD9" w:rsidR="00B61039" w:rsidRPr="00055CF7" w:rsidRDefault="00B61039" w:rsidP="00FF1C4A">
      <w:pPr>
        <w:pStyle w:val="Akapitzlist"/>
        <w:numPr>
          <w:ilvl w:val="0"/>
          <w:numId w:val="39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wiedzę nt. organ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izacji praktyk i staży w Polsce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lub</w:t>
      </w:r>
    </w:p>
    <w:p w14:paraId="20FB70CE" w14:textId="535AD3FB" w:rsidR="00B61039" w:rsidRPr="00055CF7" w:rsidRDefault="00B61039" w:rsidP="00FF1C4A">
      <w:pPr>
        <w:pStyle w:val="Akapitzlist"/>
        <w:numPr>
          <w:ilvl w:val="0"/>
          <w:numId w:val="39"/>
        </w:numPr>
        <w:spacing w:before="120" w:after="24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doświadczenie w pracy z przedsiębiorcami w zakresie nawiązywania lub  prowadzenia przez nich współpracy ze szkołami zawodowymi/szkołami wyższymi w zakresie praktycznej nauki zawodu/kształcenia młodocianych/praktyk/sta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ży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lub</w:t>
      </w:r>
    </w:p>
    <w:p w14:paraId="20B074B5" w14:textId="57A60833" w:rsidR="00B61039" w:rsidRPr="00055CF7" w:rsidRDefault="00B61039" w:rsidP="007C3DA0">
      <w:pPr>
        <w:pStyle w:val="Akapitzlist"/>
        <w:numPr>
          <w:ilvl w:val="2"/>
          <w:numId w:val="43"/>
        </w:numPr>
        <w:spacing w:before="120" w:after="240" w:line="360" w:lineRule="auto"/>
        <w:ind w:left="1418" w:hanging="284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szCs w:val="24"/>
        </w:rPr>
        <w:t xml:space="preserve">wiedza z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zakresu</w:t>
      </w:r>
      <w:r w:rsidRPr="00055CF7">
        <w:rPr>
          <w:rFonts w:asciiTheme="minorHAnsi" w:hAnsiTheme="minorHAnsi" w:cstheme="minorHAnsi"/>
          <w:szCs w:val="24"/>
        </w:rPr>
        <w:t xml:space="preserve"> potrzeb kompetencyjnych w </w:t>
      </w:r>
      <w:r w:rsidR="00246119" w:rsidRPr="00055CF7">
        <w:rPr>
          <w:rFonts w:asciiTheme="minorHAnsi" w:hAnsiTheme="minorHAnsi" w:cstheme="minorHAnsi"/>
          <w:szCs w:val="24"/>
        </w:rPr>
        <w:t xml:space="preserve">17 </w:t>
      </w:r>
      <w:r w:rsidRPr="00055CF7">
        <w:rPr>
          <w:rFonts w:asciiTheme="minorHAnsi" w:hAnsiTheme="minorHAnsi" w:cstheme="minorHAnsi"/>
          <w:szCs w:val="24"/>
        </w:rPr>
        <w:t>sektorach, w których działają sektorowe rady ds. kompetencji</w:t>
      </w:r>
      <w:r w:rsidR="00246119" w:rsidRPr="00055CF7">
        <w:rPr>
          <w:rFonts w:asciiTheme="minorHAnsi" w:hAnsiTheme="minorHAnsi" w:cstheme="minorHAnsi"/>
          <w:szCs w:val="24"/>
        </w:rPr>
        <w:t xml:space="preserve"> (</w:t>
      </w:r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opieka zdrowotna i pomoc społeczna; </w:t>
      </w:r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lastRenderedPageBreak/>
        <w:t xml:space="preserve">budownictwo; finanse; turystyka; motoryzacja i </w:t>
      </w:r>
      <w:proofErr w:type="spellStart"/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>Elektromobilność</w:t>
      </w:r>
      <w:proofErr w:type="spellEnd"/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; moda i innowacyjne tekstylia; informatyka; odzysk materiałowy surowców; przemysł lotniczo-kosmiczny; żywność wysokiej jakości; chemia; telekomunikacja i </w:t>
      </w:r>
      <w:proofErr w:type="spellStart"/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>Cyberbezpieczeństwo</w:t>
      </w:r>
      <w:proofErr w:type="spellEnd"/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>; gospodarka wodno-ściekowa i rekultywacja; usługi rozwojowe; nowoczesne usługi biznesowe; komunikacja marketingowa; handel)</w:t>
      </w:r>
      <w:r w:rsidR="00246119" w:rsidRPr="00055CF7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246119" w:rsidRPr="00055CF7">
        <w:rPr>
          <w:rFonts w:asciiTheme="minorHAnsi" w:hAnsiTheme="minorHAnsi" w:cstheme="minorHAnsi"/>
          <w:color w:val="auto"/>
          <w:szCs w:val="24"/>
          <w:lang w:eastAsia="en-US"/>
        </w:rPr>
        <w:t>.</w:t>
      </w:r>
    </w:p>
    <w:p w14:paraId="7175E50D" w14:textId="79A8D539" w:rsidR="00B61039" w:rsidRPr="00055CF7" w:rsidRDefault="00B61039" w:rsidP="007F35CF">
      <w:pPr>
        <w:pStyle w:val="Nagwek1"/>
      </w:pPr>
      <w:r w:rsidRPr="00055CF7">
        <w:t>Opis zadań</w:t>
      </w:r>
      <w:r w:rsidR="004C65CE" w:rsidRPr="00055CF7">
        <w:t>.</w:t>
      </w:r>
    </w:p>
    <w:p w14:paraId="0CA01800" w14:textId="77777777" w:rsidR="00940FEF" w:rsidRPr="00055CF7" w:rsidRDefault="00940FEF" w:rsidP="000074B9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Ocena zgłoszeń konkursowych będzie się składać z trzech etapów, przy czym etap trzeci nie będzie zlecany w ramach planowanego zamówienia. Etap ten dotyczy oceny przez Kapitułę główną oraz Kapituły sektorowe. </w:t>
      </w:r>
    </w:p>
    <w:p w14:paraId="74C57883" w14:textId="77777777" w:rsidR="00940FEF" w:rsidRPr="00055CF7" w:rsidRDefault="00940FEF" w:rsidP="000074B9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W pierwszym etapie nastąpi ocena formalna zgłoszenia. Ocena formalna prowadzona będzie w systemie 0-1 („spełnia/nie spełnia”). Sprawdzeniu będą podlegać warunki formalne udziału w konkursie wynikające z regulaminu konkursu. PARP dopuszcza możliwość jednorazowego uzupełnienia/poprawy zgłoszenia konkursowego na etapie oceny formalnej, a ekspert będzie musiał sprawdzić, czy zgłoszenie konkursowe zostało prawidłowo uzupełnione/poprawione (jeśli dotyczy). </w:t>
      </w:r>
    </w:p>
    <w:p w14:paraId="56AD227D" w14:textId="77777777" w:rsidR="00940FEF" w:rsidRPr="00055CF7" w:rsidRDefault="00940FEF" w:rsidP="000074B9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 drugim etapie nastąpi ocena merytoryczna I stopnia. Ocena będzie polegała na przyznaniu punktów za spełnianie poszczególnych kryteriów oceny.</w:t>
      </w:r>
    </w:p>
    <w:p w14:paraId="6773AB61" w14:textId="627C2738" w:rsidR="00246119" w:rsidRPr="00055CF7" w:rsidRDefault="00940FEF" w:rsidP="00246119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Ocena formalna i merytoryczna </w:t>
      </w:r>
      <w:r w:rsidR="007F35CF">
        <w:rPr>
          <w:rFonts w:asciiTheme="minorHAnsi" w:hAnsiTheme="minorHAnsi" w:cstheme="minorHAnsi"/>
          <w:b/>
          <w:color w:val="auto"/>
          <w:szCs w:val="24"/>
          <w:lang w:eastAsia="en-US"/>
        </w:rPr>
        <w:t>pierwszego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stopnia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będą dokonywane na podstawie 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Karty oceny zgłoszenia konkursowego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, któr</w:t>
      </w:r>
      <w:r w:rsidR="000074B9" w:rsidRPr="00055CF7">
        <w:rPr>
          <w:rFonts w:asciiTheme="minorHAnsi" w:hAnsiTheme="minorHAnsi" w:cstheme="minorHAnsi"/>
          <w:color w:val="auto"/>
          <w:szCs w:val="24"/>
          <w:lang w:eastAsia="en-US"/>
        </w:rPr>
        <w:t>ej wzór został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załączon</w:t>
      </w:r>
      <w:r w:rsidR="000074B9" w:rsidRPr="00055CF7">
        <w:rPr>
          <w:rFonts w:asciiTheme="minorHAnsi" w:hAnsiTheme="minorHAnsi" w:cstheme="minorHAnsi"/>
          <w:color w:val="auto"/>
          <w:szCs w:val="24"/>
          <w:lang w:eastAsia="en-US"/>
        </w:rPr>
        <w:t>y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CA64DC">
        <w:rPr>
          <w:rFonts w:asciiTheme="minorHAnsi" w:hAnsiTheme="minorHAnsi" w:cstheme="minorHAnsi"/>
          <w:color w:val="auto"/>
          <w:szCs w:val="24"/>
          <w:lang w:eastAsia="en-US"/>
        </w:rPr>
        <w:t xml:space="preserve">w osobnym pliku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do</w:t>
      </w:r>
      <w:r w:rsidR="00CA64DC">
        <w:rPr>
          <w:rFonts w:asciiTheme="minorHAnsi" w:hAnsiTheme="minorHAnsi" w:cstheme="minorHAnsi"/>
          <w:color w:val="auto"/>
          <w:szCs w:val="24"/>
          <w:lang w:eastAsia="en-US"/>
        </w:rPr>
        <w:t> </w:t>
      </w:r>
      <w:r w:rsidR="00055CF7" w:rsidRPr="00055CF7">
        <w:rPr>
          <w:rFonts w:asciiTheme="minorHAnsi" w:hAnsiTheme="minorHAnsi" w:cstheme="minorHAnsi"/>
          <w:color w:val="auto"/>
          <w:szCs w:val="24"/>
          <w:lang w:eastAsia="en-US"/>
        </w:rPr>
        <w:t>niniejszej prośby o szacowanie wartości zamówienia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. </w:t>
      </w:r>
    </w:p>
    <w:p w14:paraId="656C2843" w14:textId="18008068" w:rsidR="00940FEF" w:rsidRPr="00055CF7" w:rsidRDefault="00940FEF" w:rsidP="00246119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Doświadczenie PARP z poprzednich edycji wskazuje, że ocena formalna jednego zgłoszenia konkursowego zajmuje około 15 minut, a ocena merytoryczna 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pierwszego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stopnia jednego zgłoszenia konkursowego zajmuje średnio 2-3 godziny zegarowe.</w:t>
      </w:r>
    </w:p>
    <w:p w14:paraId="1D03F4CE" w14:textId="77777777" w:rsidR="00CA64DC" w:rsidRDefault="00CA64DC">
      <w:pPr>
        <w:spacing w:after="160" w:line="259" w:lineRule="auto"/>
        <w:ind w:left="0" w:firstLine="0"/>
        <w:jc w:val="left"/>
        <w:rPr>
          <w:rFonts w:asciiTheme="minorHAnsi" w:eastAsiaTheme="minorEastAsia" w:hAnsiTheme="minorHAnsi" w:cstheme="minorHAnsi"/>
          <w:b/>
          <w:color w:val="auto"/>
          <w:spacing w:val="15"/>
          <w:sz w:val="28"/>
          <w:szCs w:val="24"/>
        </w:rPr>
      </w:pPr>
      <w:r>
        <w:br w:type="page"/>
      </w:r>
    </w:p>
    <w:p w14:paraId="7D2E1FF3" w14:textId="43B8A0F7" w:rsidR="00B61039" w:rsidRPr="00055CF7" w:rsidRDefault="007F35CF" w:rsidP="007F35CF">
      <w:pPr>
        <w:pStyle w:val="Nagwek1"/>
      </w:pPr>
      <w:r>
        <w:lastRenderedPageBreak/>
        <w:t>Kontekst zamówienia.</w:t>
      </w:r>
    </w:p>
    <w:p w14:paraId="641ACA93" w14:textId="1770B12E" w:rsidR="00FF1C4A" w:rsidRPr="00055CF7" w:rsidRDefault="00B61039" w:rsidP="00FF1C4A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Konkurs Pracodawca Jutra (dalej: Konkurs) organizowany jest przez Polską Agencję Rozwoju Przedsiębiorczości (PARP) po raz szósty. Jego ostatnia edycja odbyła się </w:t>
      </w:r>
      <w:r w:rsidR="00940FEF" w:rsidRPr="00055CF7">
        <w:rPr>
          <w:rFonts w:asciiTheme="minorHAnsi" w:hAnsiTheme="minorHAnsi" w:cstheme="minorHAnsi"/>
          <w:szCs w:val="24"/>
        </w:rPr>
        <w:br/>
      </w:r>
      <w:r w:rsidRPr="00055CF7">
        <w:rPr>
          <w:rFonts w:asciiTheme="minorHAnsi" w:hAnsiTheme="minorHAnsi" w:cstheme="minorHAnsi"/>
          <w:szCs w:val="24"/>
        </w:rPr>
        <w:t>w 2019</w:t>
      </w:r>
      <w:r w:rsidR="00FF1C4A" w:rsidRPr="00055CF7">
        <w:rPr>
          <w:rFonts w:asciiTheme="minorHAnsi" w:hAnsiTheme="minorHAnsi" w:cstheme="minorHAnsi"/>
          <w:szCs w:val="24"/>
        </w:rPr>
        <w:t xml:space="preserve"> </w:t>
      </w:r>
      <w:r w:rsidRPr="00055CF7">
        <w:rPr>
          <w:rFonts w:asciiTheme="minorHAnsi" w:hAnsiTheme="minorHAnsi" w:cstheme="minorHAnsi"/>
          <w:szCs w:val="24"/>
        </w:rPr>
        <w:t xml:space="preserve">r., a tytuł Pracodawcy Jutra został przyznany </w:t>
      </w:r>
      <w:r w:rsidR="00B45217" w:rsidRPr="00055CF7">
        <w:rPr>
          <w:rFonts w:asciiTheme="minorHAnsi" w:hAnsiTheme="minorHAnsi" w:cstheme="minorHAnsi"/>
          <w:szCs w:val="24"/>
        </w:rPr>
        <w:t xml:space="preserve">m.in. </w:t>
      </w:r>
      <w:r w:rsidRPr="00055CF7">
        <w:rPr>
          <w:rFonts w:asciiTheme="minorHAnsi" w:hAnsiTheme="minorHAnsi" w:cstheme="minorHAnsi"/>
          <w:szCs w:val="24"/>
        </w:rPr>
        <w:t>firmom</w:t>
      </w:r>
      <w:r w:rsidR="00B45217" w:rsidRPr="00055CF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55CF7">
        <w:rPr>
          <w:rFonts w:asciiTheme="minorHAnsi" w:hAnsiTheme="minorHAnsi" w:cstheme="minorHAnsi"/>
          <w:szCs w:val="24"/>
        </w:rPr>
        <w:t>InPhoTech</w:t>
      </w:r>
      <w:proofErr w:type="spellEnd"/>
      <w:r w:rsidRPr="00055CF7">
        <w:rPr>
          <w:rFonts w:asciiTheme="minorHAnsi" w:hAnsiTheme="minorHAnsi" w:cstheme="minorHAnsi"/>
          <w:szCs w:val="24"/>
        </w:rPr>
        <w:t xml:space="preserve"> Sp. z o.o., Biuro Rachunkowe </w:t>
      </w:r>
      <w:proofErr w:type="spellStart"/>
      <w:r w:rsidRPr="00055CF7">
        <w:rPr>
          <w:rFonts w:asciiTheme="minorHAnsi" w:hAnsiTheme="minorHAnsi" w:cstheme="minorHAnsi"/>
          <w:szCs w:val="24"/>
        </w:rPr>
        <w:t>Biurex</w:t>
      </w:r>
      <w:proofErr w:type="spellEnd"/>
      <w:r w:rsidRPr="00055CF7">
        <w:rPr>
          <w:rFonts w:asciiTheme="minorHAnsi" w:hAnsiTheme="minorHAnsi" w:cstheme="minorHAnsi"/>
          <w:szCs w:val="24"/>
        </w:rPr>
        <w:t xml:space="preserve"> Sp. z o.o., Hotel Jan III Sobieski Sp. z o.o. i inn</w:t>
      </w:r>
      <w:r w:rsidR="00B45217" w:rsidRPr="00055CF7">
        <w:rPr>
          <w:rFonts w:asciiTheme="minorHAnsi" w:hAnsiTheme="minorHAnsi" w:cstheme="minorHAnsi"/>
          <w:szCs w:val="24"/>
        </w:rPr>
        <w:t>ym</w:t>
      </w:r>
      <w:r w:rsidRPr="00055CF7">
        <w:rPr>
          <w:rFonts w:asciiTheme="minorHAnsi" w:hAnsiTheme="minorHAnsi" w:cstheme="minorHAnsi"/>
          <w:szCs w:val="24"/>
        </w:rPr>
        <w:t xml:space="preserve">. </w:t>
      </w:r>
    </w:p>
    <w:p w14:paraId="160D06ED" w14:textId="77777777" w:rsidR="00FF1C4A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Celem Konkursu jest wyróżnienie przedsiębiorców, którzy realizują inicjatywy</w:t>
      </w:r>
      <w:r w:rsidR="00FF1C4A" w:rsidRPr="00055CF7">
        <w:rPr>
          <w:rFonts w:asciiTheme="minorHAnsi" w:hAnsiTheme="minorHAnsi" w:cstheme="minorHAnsi"/>
          <w:szCs w:val="24"/>
        </w:rPr>
        <w:t xml:space="preserve"> 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z zakresu współpracy biznesu z edukacją. Do Konkursu w 2019 r. zgłoszono 60 inicjatyw.</w:t>
      </w:r>
    </w:p>
    <w:p w14:paraId="27568156" w14:textId="65620546" w:rsidR="00FF1C4A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Pełna informacja o Konkursie sprzed dwóch lat znajduje się na stronie </w:t>
      </w:r>
      <w:r w:rsidR="00FF1C4A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internetowej </w:t>
      </w:r>
      <w:hyperlink r:id="rId10" w:history="1">
        <w:r w:rsidR="00FF1C4A" w:rsidRPr="007F35CF">
          <w:rPr>
            <w:rStyle w:val="Hipercze"/>
            <w:rFonts w:asciiTheme="minorHAnsi" w:hAnsiTheme="minorHAnsi" w:cstheme="minorHAnsi"/>
            <w:b/>
            <w:color w:val="auto"/>
            <w:szCs w:val="24"/>
          </w:rPr>
          <w:t>https://www.parp.gov.pl/component/content/article/57597:poznalismy-pracodawcow-najlepiej-dbajacych-o-rozwoj-swoich-kadr.</w:t>
        </w:r>
      </w:hyperlink>
    </w:p>
    <w:p w14:paraId="3720EDBC" w14:textId="3AE99C8B" w:rsidR="00B61039" w:rsidRPr="00055CF7" w:rsidRDefault="004C65CE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Po</w:t>
      </w:r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przerwie w związku z pandemią </w:t>
      </w:r>
      <w:proofErr w:type="spellStart"/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>koronawirusa</w:t>
      </w:r>
      <w:proofErr w:type="spellEnd"/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>, PARP planuje ogłoszenie kolejnej edycji Konkursu</w:t>
      </w:r>
      <w:r w:rsidR="00B61039" w:rsidRPr="00055CF7">
        <w:rPr>
          <w:rFonts w:asciiTheme="minorHAnsi" w:hAnsiTheme="minorHAnsi" w:cstheme="minorHAnsi"/>
          <w:szCs w:val="24"/>
        </w:rPr>
        <w:t xml:space="preserve">, która organizowana będzie pn. </w:t>
      </w:r>
      <w:r w:rsidRPr="00055CF7">
        <w:rPr>
          <w:rFonts w:asciiTheme="minorHAnsi" w:hAnsiTheme="minorHAnsi" w:cstheme="minorHAnsi"/>
          <w:szCs w:val="24"/>
        </w:rPr>
        <w:t>„</w:t>
      </w:r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>Pracodawca Jutra 2021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”</w:t>
      </w:r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. Przewidujemy wyróżnienie inicjatyw </w:t>
      </w:r>
      <w:r w:rsidR="00B61039"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w trzech kategoriach</w:t>
      </w:r>
      <w:r w:rsidR="00B61039" w:rsidRPr="00055CF7">
        <w:rPr>
          <w:rFonts w:asciiTheme="minorHAnsi" w:hAnsiTheme="minorHAnsi" w:cstheme="minorHAnsi"/>
          <w:color w:val="auto"/>
          <w:szCs w:val="24"/>
          <w:lang w:eastAsia="en-US"/>
        </w:rPr>
        <w:t>:</w:t>
      </w:r>
    </w:p>
    <w:p w14:paraId="054D0EF5" w14:textId="77777777" w:rsidR="00B61039" w:rsidRPr="00055CF7" w:rsidRDefault="00B61039" w:rsidP="00940FEF">
      <w:pPr>
        <w:pStyle w:val="Akapitzlist"/>
        <w:numPr>
          <w:ilvl w:val="0"/>
          <w:numId w:val="23"/>
        </w:numPr>
        <w:spacing w:before="120" w:after="120" w:line="360" w:lineRule="auto"/>
        <w:ind w:left="1276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„Rozwój Pracownika”, inicjatywy z zakresu:</w:t>
      </w:r>
    </w:p>
    <w:p w14:paraId="78436F51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pomocy w rozwoju zawodowym pracowników; </w:t>
      </w:r>
    </w:p>
    <w:p w14:paraId="4E127DF8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systemów motywujących do podnoszenia kompetencji, uzyskiwania kwalifikacji lub umiejętności;</w:t>
      </w:r>
    </w:p>
    <w:p w14:paraId="36778390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inwestycji w rozwój pracowników poprzez programy podnoszące kompetencje i/lub prowadzące do uzyskania kwalifikacji pracowników (kursy, szkolenia, programy migracji między działami, etc.); </w:t>
      </w:r>
    </w:p>
    <w:p w14:paraId="21FEF771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rozwoju kompetencji miękkich (uniwersalnych), poszukiwanych przez pracodawców (np. wolontariat pracowniczy);</w:t>
      </w:r>
    </w:p>
    <w:p w14:paraId="4D677282" w14:textId="77777777" w:rsidR="00B61039" w:rsidRPr="00055CF7" w:rsidRDefault="00B61039" w:rsidP="00940FEF">
      <w:pPr>
        <w:pStyle w:val="Akapitzlist"/>
        <w:numPr>
          <w:ilvl w:val="0"/>
          <w:numId w:val="23"/>
        </w:numPr>
        <w:spacing w:before="120" w:after="120" w:line="360" w:lineRule="auto"/>
        <w:ind w:left="1276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„Dojrzałe Kompetencje”, inicjatywy z zakresu programów rozwojowych dedykowanych grupom pracowników w wieku powyżej 50 roku życia, w tym np. warsztaty, szkolenia, platformy, inicjatywy zwiększające szanse i rozwój pracowników, programy mentorskie polegające na wykorzystaniu eksperckiej wiedzy pracowników w wieku powyżej 50 roku życia lub z wykorzystaniem wiedzy pracowników, których aktywność zawodowa została podjęta w okresie nie dłuższym, niż 10 lat od zakończenia kształcenia formalnego;</w:t>
      </w:r>
    </w:p>
    <w:p w14:paraId="14A0B182" w14:textId="138A604F" w:rsidR="00B61039" w:rsidRPr="00055CF7" w:rsidRDefault="00B61039" w:rsidP="00940FEF">
      <w:pPr>
        <w:pStyle w:val="Akapitzlist"/>
        <w:numPr>
          <w:ilvl w:val="0"/>
          <w:numId w:val="23"/>
        </w:numPr>
        <w:spacing w:before="120" w:after="120" w:line="360" w:lineRule="auto"/>
        <w:ind w:left="1276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lastRenderedPageBreak/>
        <w:t>„Ambasador Edukacji”, inicjatywy z zakresu:</w:t>
      </w:r>
    </w:p>
    <w:p w14:paraId="73C67841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współpracy przedsiębiorcy z instytucjami edukacyjnymi (prowadzenie lekcji, warsztatów w szkołach, tworzenie/wspieranie klas profilowych, współpraca z organizacjami pozarządowymi o profilu oświatowym/edukacyjnym, itp.);</w:t>
      </w:r>
    </w:p>
    <w:p w14:paraId="20004004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tworzenia lub wspierania autorskich platform/gier edukacyjnych/ staży/konkursów dla uczniów;</w:t>
      </w:r>
    </w:p>
    <w:p w14:paraId="44A48A3B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zaangażowania pracodawców w działalność dydaktyczną i naukową dla wykładowców/nauczycieli (np. laboratoria, programy badawczo-rozwojowe);</w:t>
      </w:r>
    </w:p>
    <w:p w14:paraId="7757DCC9" w14:textId="77777777" w:rsidR="00B61039" w:rsidRPr="00055CF7" w:rsidRDefault="00B61039" w:rsidP="00940FEF">
      <w:pPr>
        <w:pStyle w:val="Akapitzlist"/>
        <w:numPr>
          <w:ilvl w:val="1"/>
          <w:numId w:val="23"/>
        </w:numPr>
        <w:spacing w:before="120" w:after="120" w:line="360" w:lineRule="auto"/>
        <w:ind w:left="1985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>w ramach których uczestnicy mieli możliwość zdobywania lub rozwoju kompetencji, uzyskiwania kwalifikacji lub nabycia umiejętności poszukiwanych na rynku pracy.</w:t>
      </w:r>
    </w:p>
    <w:p w14:paraId="00BE05AE" w14:textId="49F1ED33" w:rsidR="00B61039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b/>
          <w:szCs w:val="24"/>
        </w:rPr>
      </w:pPr>
      <w:r w:rsidRPr="00055CF7">
        <w:rPr>
          <w:rFonts w:asciiTheme="minorHAnsi" w:hAnsiTheme="minorHAnsi" w:cstheme="minorHAnsi"/>
          <w:b/>
          <w:szCs w:val="24"/>
        </w:rPr>
        <w:t>Inicjatywy będą wyróżniane w każdej z ww. kategorii z uwzględnieniem podziału na</w:t>
      </w:r>
      <w:r w:rsidR="007F35CF">
        <w:rPr>
          <w:rFonts w:asciiTheme="minorHAnsi" w:hAnsiTheme="minorHAnsi" w:cstheme="minorHAnsi"/>
          <w:b/>
          <w:szCs w:val="24"/>
        </w:rPr>
        <w:t> </w:t>
      </w:r>
      <w:r w:rsidRPr="00055CF7">
        <w:rPr>
          <w:rFonts w:asciiTheme="minorHAnsi" w:hAnsiTheme="minorHAnsi" w:cstheme="minorHAnsi"/>
          <w:b/>
          <w:szCs w:val="24"/>
        </w:rPr>
        <w:t xml:space="preserve">wielkość firmy: </w:t>
      </w:r>
    </w:p>
    <w:p w14:paraId="14ECA507" w14:textId="77777777" w:rsidR="00B61039" w:rsidRPr="00055CF7" w:rsidRDefault="00B61039" w:rsidP="00940FEF">
      <w:pPr>
        <w:pStyle w:val="Akapitzlist"/>
        <w:numPr>
          <w:ilvl w:val="0"/>
          <w:numId w:val="22"/>
        </w:numPr>
        <w:spacing w:before="120" w:after="120" w:line="360" w:lineRule="auto"/>
        <w:ind w:left="1418" w:hanging="567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mikro i małe przedsiębiorstwa oraz </w:t>
      </w:r>
    </w:p>
    <w:p w14:paraId="5583B597" w14:textId="77777777" w:rsidR="00B61039" w:rsidRPr="00055CF7" w:rsidRDefault="00B61039" w:rsidP="00940FEF">
      <w:pPr>
        <w:pStyle w:val="Akapitzlist"/>
        <w:numPr>
          <w:ilvl w:val="0"/>
          <w:numId w:val="22"/>
        </w:numPr>
        <w:spacing w:before="120" w:after="120" w:line="360" w:lineRule="auto"/>
        <w:ind w:left="1418" w:hanging="567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średnie i duże przedsiębiorstwa. </w:t>
      </w:r>
    </w:p>
    <w:p w14:paraId="38DA421A" w14:textId="54C8A151" w:rsidR="00B61039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>Przedsiębiorcy ubiegający się o wyróżnienie powinni wykazać w zgłoszeniu, że</w:t>
      </w:r>
      <w:r w:rsidR="007F35CF">
        <w:rPr>
          <w:rFonts w:asciiTheme="minorHAnsi" w:hAnsiTheme="minorHAnsi" w:cstheme="minorHAnsi"/>
          <w:szCs w:val="24"/>
        </w:rPr>
        <w:t> </w:t>
      </w:r>
      <w:r w:rsidRPr="00055CF7">
        <w:rPr>
          <w:rFonts w:asciiTheme="minorHAnsi" w:hAnsiTheme="minorHAnsi" w:cstheme="minorHAnsi"/>
          <w:szCs w:val="24"/>
        </w:rPr>
        <w:t>podejmowane przez nich działania mają charakter kompleksowy, zostały przygotowane w sposób przemyślany, zaś udział w nich faktycznie przyczynia się do</w:t>
      </w:r>
      <w:r w:rsidR="007F35CF">
        <w:rPr>
          <w:rFonts w:asciiTheme="minorHAnsi" w:hAnsiTheme="minorHAnsi" w:cstheme="minorHAnsi"/>
          <w:szCs w:val="24"/>
        </w:rPr>
        <w:t> </w:t>
      </w:r>
      <w:r w:rsidRPr="00055CF7">
        <w:rPr>
          <w:rFonts w:asciiTheme="minorHAnsi" w:hAnsiTheme="minorHAnsi" w:cstheme="minorHAnsi"/>
          <w:szCs w:val="24"/>
        </w:rPr>
        <w:t>zwiększenia wiedzy, podniesienia kompetencji lub umiejętności potrzebnych w</w:t>
      </w:r>
      <w:r w:rsidR="007F35CF">
        <w:rPr>
          <w:rFonts w:asciiTheme="minorHAnsi" w:hAnsiTheme="minorHAnsi" w:cstheme="minorHAnsi"/>
          <w:szCs w:val="24"/>
        </w:rPr>
        <w:t> </w:t>
      </w:r>
      <w:r w:rsidRPr="00055CF7">
        <w:rPr>
          <w:rFonts w:asciiTheme="minorHAnsi" w:hAnsiTheme="minorHAnsi" w:cstheme="minorHAnsi"/>
          <w:szCs w:val="24"/>
        </w:rPr>
        <w:t>miejscu pracy.</w:t>
      </w:r>
    </w:p>
    <w:p w14:paraId="2826B251" w14:textId="2CAF4514" w:rsidR="00B61039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Inicjatywy będą przyjmowane na formularzu (projekt formularza dołączyliśmy </w:t>
      </w:r>
      <w:r w:rsidR="00CA64DC">
        <w:rPr>
          <w:rFonts w:asciiTheme="minorHAnsi" w:hAnsiTheme="minorHAnsi" w:cstheme="minorHAnsi"/>
          <w:szCs w:val="24"/>
        </w:rPr>
        <w:t xml:space="preserve">w osobnym pliku </w:t>
      </w:r>
      <w:r w:rsidRPr="00055CF7">
        <w:rPr>
          <w:rFonts w:asciiTheme="minorHAnsi" w:hAnsiTheme="minorHAnsi" w:cstheme="minorHAnsi"/>
          <w:szCs w:val="24"/>
        </w:rPr>
        <w:t>do</w:t>
      </w:r>
      <w:r w:rsidR="007F35CF">
        <w:rPr>
          <w:rFonts w:asciiTheme="minorHAnsi" w:hAnsiTheme="minorHAnsi" w:cstheme="minorHAnsi"/>
          <w:szCs w:val="24"/>
        </w:rPr>
        <w:t> </w:t>
      </w:r>
      <w:r w:rsidRPr="00055CF7">
        <w:rPr>
          <w:rFonts w:asciiTheme="minorHAnsi" w:hAnsiTheme="minorHAnsi" w:cstheme="minorHAnsi"/>
          <w:szCs w:val="24"/>
        </w:rPr>
        <w:t>niniejszego dokumentu). Wraz z formularzem wnioskodawca może też przesłać linki do stron internetowych prezentujących zgłaszane rozwiązania (maksymalnie 5 linków).</w:t>
      </w:r>
    </w:p>
    <w:p w14:paraId="6F93A337" w14:textId="77777777" w:rsidR="00B61039" w:rsidRPr="00055CF7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Zgłoszenia Konkursowe będą w pierwszej kolejności oceniane formalnie, a następnie poddane ocenie merytorycznej I stopnia. Ocenę prowadzić będzie Panel Ekspertów. Następnie najwyżej ocenione zgłoszenia konkursowe zostaną przekazane Kapitule Konkursu oraz kapitułom sektorowym, które wybiorą najlepsze inicjatywy: </w:t>
      </w:r>
    </w:p>
    <w:p w14:paraId="0DE9745D" w14:textId="600740AA" w:rsidR="00B61039" w:rsidRPr="00055CF7" w:rsidRDefault="00B61039" w:rsidP="00940FEF">
      <w:pPr>
        <w:pStyle w:val="Akapitzlist"/>
        <w:numPr>
          <w:ilvl w:val="0"/>
          <w:numId w:val="28"/>
        </w:numPr>
        <w:spacing w:before="120" w:after="120" w:line="360" w:lineRule="auto"/>
        <w:ind w:left="1276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lastRenderedPageBreak/>
        <w:t xml:space="preserve">Kapituła Konkursu wybierze je w każdej z 3 kategorii, w każdym z </w:t>
      </w:r>
      <w:r w:rsidR="007F35CF">
        <w:rPr>
          <w:rFonts w:asciiTheme="minorHAnsi" w:hAnsiTheme="minorHAnsi" w:cstheme="minorHAnsi"/>
          <w:color w:val="auto"/>
          <w:szCs w:val="24"/>
          <w:lang w:eastAsia="en-US"/>
        </w:rPr>
        <w:t>dwóch</w:t>
      </w: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segmentów wielkości firm.</w:t>
      </w:r>
    </w:p>
    <w:p w14:paraId="5021BF2B" w14:textId="77777777" w:rsidR="00B61039" w:rsidRPr="00055CF7" w:rsidRDefault="00B61039" w:rsidP="00940FEF">
      <w:pPr>
        <w:pStyle w:val="Akapitzlist"/>
        <w:numPr>
          <w:ilvl w:val="0"/>
          <w:numId w:val="28"/>
        </w:numPr>
        <w:spacing w:before="120" w:after="120" w:line="360" w:lineRule="auto"/>
        <w:ind w:left="1276" w:hanging="425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Kapituły sektorowe wybiorą po jednej najlepszej inicjatywie zgłoszonej w ich sektorach. </w:t>
      </w:r>
    </w:p>
    <w:p w14:paraId="39AFB4FB" w14:textId="6AE457C4" w:rsidR="00B61039" w:rsidRDefault="00B61039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>Tegoroczna edycja będzie realizowana ze środków Programu Operacyjnego Wiedza Edukacja Rozwój i budżetu państwa w ramach projektu pozakonkursowego PARP pn.</w:t>
      </w:r>
      <w:r w:rsidR="007F35CF">
        <w:rPr>
          <w:rFonts w:asciiTheme="minorHAnsi" w:hAnsiTheme="minorHAnsi" w:cstheme="minorHAnsi"/>
          <w:szCs w:val="24"/>
        </w:rPr>
        <w:t> </w:t>
      </w:r>
      <w:r w:rsidRPr="00055CF7">
        <w:rPr>
          <w:rFonts w:asciiTheme="minorHAnsi" w:hAnsiTheme="minorHAnsi" w:cstheme="minorHAnsi"/>
          <w:szCs w:val="24"/>
        </w:rPr>
        <w:t>„Rada Programowa ds. Kompetencji” (projekt nr POWR.02.12.00-00-0002/17).</w:t>
      </w:r>
    </w:p>
    <w:p w14:paraId="5F275949" w14:textId="25377DFB" w:rsidR="00A96466" w:rsidRDefault="00A96466" w:rsidP="00A96466">
      <w:pPr>
        <w:spacing w:before="240" w:after="240" w:line="360" w:lineRule="auto"/>
        <w:ind w:left="425" w:firstLine="0"/>
        <w:jc w:val="left"/>
        <w:rPr>
          <w:rFonts w:asciiTheme="minorHAnsi" w:hAnsiTheme="minorHAnsi" w:cstheme="minorHAnsi"/>
          <w:i/>
          <w:szCs w:val="24"/>
        </w:rPr>
      </w:pPr>
      <w:r w:rsidRPr="00A96466">
        <w:rPr>
          <w:rFonts w:asciiTheme="minorHAnsi" w:hAnsiTheme="minorHAnsi" w:cstheme="minorHAnsi"/>
          <w:i/>
          <w:szCs w:val="24"/>
        </w:rPr>
        <w:t xml:space="preserve">Przedstawione zapytanie nie stanowi oferty w myśl art. 66 Kodeksu Cywilnego, </w:t>
      </w:r>
      <w:r w:rsidRPr="00A96466">
        <w:rPr>
          <w:rFonts w:asciiTheme="minorHAnsi" w:hAnsiTheme="minorHAnsi" w:cstheme="minorHAnsi"/>
          <w:i/>
          <w:szCs w:val="24"/>
        </w:rPr>
        <w:br/>
        <w:t>jak również nie jest ogłoszeniem w rozumieniu ustawy Prawo zamówień publicznych.</w:t>
      </w:r>
    </w:p>
    <w:p w14:paraId="5CE8CCFD" w14:textId="180E0CFF" w:rsidR="00B90109" w:rsidRDefault="00B90109" w:rsidP="00B90109">
      <w:pPr>
        <w:pStyle w:val="Nagwek1"/>
      </w:pPr>
      <w:r>
        <w:t xml:space="preserve">Załączniki </w:t>
      </w:r>
    </w:p>
    <w:p w14:paraId="6E153F84" w14:textId="0A8473D6" w:rsidR="00B90109" w:rsidRDefault="00B90109" w:rsidP="00B90109">
      <w:pPr>
        <w:pStyle w:val="Akapitzlist"/>
        <w:numPr>
          <w:ilvl w:val="0"/>
          <w:numId w:val="49"/>
        </w:numPr>
      </w:pPr>
      <w:r>
        <w:t>Wzór karty oceny zgłoszenia.</w:t>
      </w:r>
    </w:p>
    <w:p w14:paraId="165C985C" w14:textId="5152A678" w:rsidR="00B90109" w:rsidRPr="00B90109" w:rsidRDefault="00B90109" w:rsidP="00B90109">
      <w:pPr>
        <w:pStyle w:val="Akapitzlist"/>
        <w:numPr>
          <w:ilvl w:val="0"/>
          <w:numId w:val="49"/>
        </w:numPr>
      </w:pPr>
      <w:r>
        <w:t>Wzór formularza zgłoszenia do konkursu „Pracodawca Jutra”.</w:t>
      </w:r>
    </w:p>
    <w:p w14:paraId="657293C6" w14:textId="77777777" w:rsidR="006D7078" w:rsidRDefault="006D7078">
      <w:pPr>
        <w:spacing w:after="160" w:line="259" w:lineRule="auto"/>
        <w:ind w:left="0" w:firstLine="0"/>
        <w:jc w:val="left"/>
        <w:rPr>
          <w:rFonts w:asciiTheme="minorHAnsi" w:eastAsiaTheme="minorEastAsia" w:hAnsiTheme="minorHAnsi" w:cstheme="minorHAnsi"/>
          <w:b/>
          <w:color w:val="auto"/>
          <w:spacing w:val="15"/>
          <w:sz w:val="28"/>
          <w:szCs w:val="24"/>
        </w:rPr>
      </w:pPr>
      <w:r>
        <w:br w:type="page"/>
      </w:r>
    </w:p>
    <w:p w14:paraId="55CC51C8" w14:textId="7A63E5C4" w:rsidR="00940FEF" w:rsidRPr="00055CF7" w:rsidRDefault="00940FEF" w:rsidP="007F35CF">
      <w:pPr>
        <w:pStyle w:val="Nagwek1"/>
      </w:pPr>
      <w:r w:rsidRPr="00055CF7">
        <w:lastRenderedPageBreak/>
        <w:t>Formularz wyceny:</w:t>
      </w:r>
    </w:p>
    <w:p w14:paraId="7C26595F" w14:textId="3C88EC1F" w:rsidR="00940FEF" w:rsidRDefault="00940FEF" w:rsidP="00940FEF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>Odpowiadając na szacowanie prosimy</w:t>
      </w:r>
      <w:r w:rsidR="006D7078">
        <w:rPr>
          <w:rFonts w:asciiTheme="minorHAnsi" w:hAnsiTheme="minorHAnsi" w:cstheme="minorHAnsi"/>
          <w:szCs w:val="24"/>
        </w:rPr>
        <w:t xml:space="preserve"> o przedstawienie stawki </w:t>
      </w:r>
      <w:r w:rsidRPr="00055CF7">
        <w:rPr>
          <w:rFonts w:asciiTheme="minorHAnsi" w:hAnsiTheme="minorHAnsi" w:cstheme="minorHAnsi"/>
          <w:szCs w:val="24"/>
        </w:rPr>
        <w:t xml:space="preserve">netto za ocenę </w:t>
      </w:r>
      <w:r w:rsidR="006D7078">
        <w:rPr>
          <w:rFonts w:asciiTheme="minorHAnsi" w:hAnsiTheme="minorHAnsi" w:cstheme="minorHAnsi"/>
          <w:szCs w:val="24"/>
        </w:rPr>
        <w:t xml:space="preserve">jednego </w:t>
      </w:r>
      <w:r w:rsidRPr="00055CF7">
        <w:rPr>
          <w:rFonts w:asciiTheme="minorHAnsi" w:hAnsiTheme="minorHAnsi" w:cstheme="minorHAnsi"/>
          <w:szCs w:val="24"/>
        </w:rPr>
        <w:t xml:space="preserve">zgłoszenia konkursowego, jak w poniższej tabeli. Prosimy wypełnić minimum </w:t>
      </w:r>
      <w:r w:rsidR="006D7078">
        <w:rPr>
          <w:rFonts w:asciiTheme="minorHAnsi" w:hAnsiTheme="minorHAnsi" w:cstheme="minorHAnsi"/>
          <w:szCs w:val="24"/>
        </w:rPr>
        <w:t>jedną tabelę</w:t>
      </w:r>
      <w:r w:rsidRPr="00055CF7">
        <w:rPr>
          <w:rFonts w:asciiTheme="minorHAnsi" w:hAnsiTheme="minorHAnsi" w:cstheme="minorHAnsi"/>
          <w:szCs w:val="24"/>
        </w:rPr>
        <w:t>.</w:t>
      </w:r>
    </w:p>
    <w:p w14:paraId="0090962C" w14:textId="129BD2B9" w:rsidR="00A96466" w:rsidRDefault="00A96466" w:rsidP="00A96466">
      <w:pPr>
        <w:spacing w:before="240" w:after="240" w:line="360" w:lineRule="auto"/>
        <w:ind w:left="425" w:firstLine="0"/>
        <w:jc w:val="left"/>
        <w:rPr>
          <w:rFonts w:asciiTheme="minorHAnsi" w:hAnsiTheme="minorHAnsi" w:cstheme="minorHAnsi"/>
          <w:b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Szacunek proszę przesłać na adres e-mail: </w:t>
      </w:r>
      <w:hyperlink r:id="rId11" w:history="1">
        <w:r w:rsidRPr="00055CF7">
          <w:rPr>
            <w:rFonts w:asciiTheme="minorHAnsi" w:hAnsiTheme="minorHAnsi" w:cstheme="minorHAnsi"/>
            <w:b/>
            <w:szCs w:val="24"/>
          </w:rPr>
          <w:t>pracodawca_jutra@parp.gov.pl</w:t>
        </w:r>
      </w:hyperlink>
      <w:r w:rsidRPr="00055CF7">
        <w:rPr>
          <w:rFonts w:asciiTheme="minorHAnsi" w:hAnsiTheme="minorHAnsi" w:cstheme="minorHAnsi"/>
          <w:szCs w:val="24"/>
        </w:rPr>
        <w:t xml:space="preserve"> do dnia </w:t>
      </w:r>
      <w:r w:rsidRPr="00055CF7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b/>
          <w:color w:val="C00000"/>
          <w:szCs w:val="24"/>
        </w:rPr>
        <w:t>8</w:t>
      </w:r>
      <w:r w:rsidRPr="00055CF7">
        <w:rPr>
          <w:rFonts w:asciiTheme="minorHAnsi" w:hAnsiTheme="minorHAnsi" w:cstheme="minorHAnsi"/>
          <w:b/>
          <w:color w:val="C00000"/>
          <w:szCs w:val="24"/>
        </w:rPr>
        <w:t xml:space="preserve"> września 2021 r.,</w:t>
      </w:r>
      <w:r w:rsidRPr="00055CF7">
        <w:rPr>
          <w:rFonts w:asciiTheme="minorHAnsi" w:hAnsiTheme="minorHAnsi" w:cstheme="minorHAnsi"/>
          <w:color w:val="C00000"/>
          <w:szCs w:val="24"/>
        </w:rPr>
        <w:t xml:space="preserve"> </w:t>
      </w:r>
      <w:r w:rsidRPr="00055CF7">
        <w:rPr>
          <w:rFonts w:asciiTheme="minorHAnsi" w:hAnsiTheme="minorHAnsi" w:cstheme="minorHAnsi"/>
          <w:b/>
          <w:szCs w:val="24"/>
        </w:rPr>
        <w:t>wpisując w temacie wiadomości: „Eksperci oceniający zgłoszenia konkursowe”.</w:t>
      </w:r>
    </w:p>
    <w:p w14:paraId="5F6D1923" w14:textId="77777777" w:rsidR="00CC597F" w:rsidRPr="00F72F88" w:rsidRDefault="00CC597F" w:rsidP="00CC597F">
      <w:pPr>
        <w:pStyle w:val="Nagwek2"/>
        <w:ind w:left="426"/>
      </w:pPr>
      <w:r w:rsidRPr="00F72F88">
        <w:t>Wycena w wariancie A - Zlecenie kompleksowej organizacji i przeprowadzenia oceny zgłoszeń do Konkursu „Pracodawca Jutra 2021” (jeden wykonawca).</w:t>
      </w:r>
    </w:p>
    <w:tbl>
      <w:tblPr>
        <w:tblW w:w="89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2"/>
      </w:tblGrid>
      <w:tr w:rsidR="00CC597F" w14:paraId="16E27F50" w14:textId="77777777" w:rsidTr="00D5344A">
        <w:trPr>
          <w:trHeight w:val="4738"/>
        </w:trPr>
        <w:tc>
          <w:tcPr>
            <w:tcW w:w="8952" w:type="dxa"/>
          </w:tcPr>
          <w:p w14:paraId="64F822DE" w14:textId="50CD06AB" w:rsidR="00CC597F" w:rsidRDefault="00CC597F" w:rsidP="00CC597F">
            <w:pPr>
              <w:spacing w:before="120" w:after="120" w:line="360" w:lineRule="auto"/>
              <w:ind w:left="37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55CF7">
              <w:rPr>
                <w:rFonts w:asciiTheme="minorHAnsi" w:hAnsiTheme="minorHAnsi" w:cstheme="minorHAnsi"/>
                <w:szCs w:val="24"/>
              </w:rPr>
              <w:t>Wycena usługi przez firmę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  <w:r w:rsidRPr="00055CF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nazwę firmy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</w:p>
          <w:p w14:paraId="1E5E8620" w14:textId="77777777" w:rsidR="00CC597F" w:rsidRDefault="00CC597F" w:rsidP="00CC597F">
            <w:pPr>
              <w:spacing w:before="120" w:after="120" w:line="360" w:lineRule="auto"/>
              <w:ind w:left="37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55CF7">
              <w:rPr>
                <w:rFonts w:asciiTheme="minorHAnsi" w:hAnsiTheme="minorHAnsi" w:cstheme="minorHAnsi"/>
                <w:szCs w:val="24"/>
              </w:rPr>
              <w:t>SZACUNKOWE WYNAGRODZENIE</w:t>
            </w:r>
            <w:r>
              <w:rPr>
                <w:rFonts w:asciiTheme="minorHAnsi" w:hAnsiTheme="minorHAnsi" w:cstheme="minorHAnsi"/>
                <w:szCs w:val="24"/>
              </w:rPr>
              <w:t xml:space="preserve"> w wariancie A </w:t>
            </w:r>
            <w:r w:rsidRPr="00055CF7">
              <w:rPr>
                <w:rFonts w:asciiTheme="minorHAnsi" w:hAnsiTheme="minorHAnsi" w:cstheme="minorHAnsi"/>
                <w:szCs w:val="24"/>
              </w:rPr>
              <w:t>za ocenę 1 formularza konkursowego</w:t>
            </w:r>
            <w:r>
              <w:rPr>
                <w:rFonts w:asciiTheme="minorHAnsi" w:hAnsiTheme="minorHAnsi" w:cstheme="minorHAnsi"/>
                <w:szCs w:val="24"/>
              </w:rPr>
              <w:t xml:space="preserve"> w </w:t>
            </w:r>
            <w:r w:rsidRPr="00055CF7">
              <w:rPr>
                <w:rFonts w:asciiTheme="minorHAnsi" w:hAnsiTheme="minorHAnsi" w:cstheme="minorHAnsi"/>
                <w:szCs w:val="24"/>
              </w:rPr>
              <w:t>PLN (</w:t>
            </w:r>
            <w:r w:rsidRPr="00055CF7">
              <w:rPr>
                <w:rFonts w:asciiTheme="minorHAnsi" w:hAnsiTheme="minorHAnsi" w:cstheme="minorHAnsi"/>
                <w:b/>
                <w:szCs w:val="24"/>
              </w:rPr>
              <w:t>netto</w:t>
            </w:r>
            <w:r w:rsidRPr="00055CF7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14:paraId="2B4C4D8C" w14:textId="0E301FF6" w:rsidR="00CC597F" w:rsidRPr="00D5344A" w:rsidRDefault="00CC597F" w:rsidP="00D5344A">
            <w:pPr>
              <w:pStyle w:val="Akapitzlist"/>
              <w:numPr>
                <w:ilvl w:val="0"/>
                <w:numId w:val="47"/>
              </w:numPr>
              <w:spacing w:before="120" w:after="120" w:line="360" w:lineRule="auto"/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 w:rsidRPr="00D5344A">
              <w:rPr>
                <w:rFonts w:asciiTheme="minorHAnsi" w:hAnsiTheme="minorHAnsi" w:cstheme="minorHAnsi"/>
                <w:i/>
                <w:szCs w:val="24"/>
              </w:rPr>
              <w:t xml:space="preserve">Ocena formalna </w:t>
            </w:r>
            <w:r w:rsidRPr="00D5344A"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  <w:t>oraz</w:t>
            </w:r>
            <w:r w:rsidRPr="00D5344A">
              <w:rPr>
                <w:rFonts w:asciiTheme="minorHAnsi" w:hAnsiTheme="minorHAnsi" w:cstheme="minorHAnsi"/>
                <w:i/>
                <w:szCs w:val="24"/>
              </w:rPr>
              <w:t xml:space="preserve"> ocena merytoryczna pierwszego stopnia1 formularza konkursowego:</w:t>
            </w:r>
          </w:p>
          <w:p w14:paraId="2947B81F" w14:textId="74D76293" w:rsidR="00CC597F" w:rsidRPr="00CC597F" w:rsidRDefault="00CC597F" w:rsidP="00D5344A">
            <w:pPr>
              <w:spacing w:before="120" w:after="120" w:line="360" w:lineRule="auto"/>
              <w:ind w:left="814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szacunkowe wynagrodzenie w PLN netto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</w:p>
          <w:p w14:paraId="3F6F42F2" w14:textId="70DD265E" w:rsidR="00CC597F" w:rsidRPr="00D5344A" w:rsidRDefault="00CC597F" w:rsidP="00D5344A">
            <w:pPr>
              <w:pStyle w:val="Akapitzlist"/>
              <w:numPr>
                <w:ilvl w:val="0"/>
                <w:numId w:val="47"/>
              </w:numPr>
              <w:spacing w:before="360" w:after="120"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D5344A">
              <w:rPr>
                <w:rFonts w:asciiTheme="minorHAnsi" w:hAnsiTheme="minorHAnsi" w:cstheme="minorHAnsi"/>
                <w:i/>
                <w:szCs w:val="24"/>
              </w:rPr>
              <w:t>Ocena merytoryczna pierwszego stopnia 1 formularza konkursowego:</w:t>
            </w:r>
          </w:p>
          <w:p w14:paraId="5FD559CA" w14:textId="17220A2E" w:rsidR="00CC597F" w:rsidRPr="00CC597F" w:rsidRDefault="00CC597F" w:rsidP="00D5344A">
            <w:pPr>
              <w:spacing w:before="120" w:after="120" w:line="360" w:lineRule="auto"/>
              <w:ind w:left="814" w:firstLine="0"/>
              <w:jc w:val="left"/>
            </w:pP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szacunkowe wynagrodzenie w PLN netto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</w:p>
        </w:tc>
      </w:tr>
    </w:tbl>
    <w:p w14:paraId="6071731C" w14:textId="77777777" w:rsidR="00A96466" w:rsidRDefault="00A96466">
      <w:pPr>
        <w:spacing w:after="160" w:line="259" w:lineRule="auto"/>
        <w:ind w:left="0" w:firstLine="0"/>
        <w:jc w:val="left"/>
        <w:rPr>
          <w:rFonts w:asciiTheme="minorHAnsi" w:eastAsiaTheme="majorEastAsia" w:hAnsiTheme="minorHAnsi" w:cstheme="majorBidi"/>
          <w:b/>
          <w:color w:val="auto"/>
          <w:sz w:val="28"/>
          <w:szCs w:val="26"/>
        </w:rPr>
      </w:pPr>
      <w:r>
        <w:br w:type="page"/>
      </w:r>
    </w:p>
    <w:p w14:paraId="4565BEB7" w14:textId="7C04D522" w:rsidR="00940FEF" w:rsidRDefault="009171C8" w:rsidP="00F72F88">
      <w:pPr>
        <w:pStyle w:val="Nagwek2"/>
      </w:pPr>
      <w:r>
        <w:lastRenderedPageBreak/>
        <w:t xml:space="preserve">Wycena w wariancie </w:t>
      </w:r>
      <w:r w:rsidR="00940FEF" w:rsidRPr="00055CF7">
        <w:t>B - Zlecenie przeprowadzenia oceny min. 5 i max. 40 zgłoszeń do Konkursu „Pracodawca Jutra 2021” (wykonawca cząstkowy).</w:t>
      </w:r>
    </w:p>
    <w:tbl>
      <w:tblPr>
        <w:tblW w:w="9102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5344A" w14:paraId="03D9C027" w14:textId="77777777" w:rsidTr="00D5344A">
        <w:trPr>
          <w:trHeight w:val="4429"/>
        </w:trPr>
        <w:tc>
          <w:tcPr>
            <w:tcW w:w="9102" w:type="dxa"/>
          </w:tcPr>
          <w:p w14:paraId="2047E8B4" w14:textId="0375B528" w:rsidR="00D5344A" w:rsidRDefault="00D5344A" w:rsidP="00D5344A">
            <w:pPr>
              <w:spacing w:before="120" w:after="120" w:line="360" w:lineRule="auto"/>
              <w:ind w:left="146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55CF7">
              <w:rPr>
                <w:rFonts w:asciiTheme="minorHAnsi" w:hAnsiTheme="minorHAnsi" w:cstheme="minorHAnsi"/>
                <w:szCs w:val="24"/>
              </w:rPr>
              <w:t xml:space="preserve">Wycena usługi przez firmę </w:t>
            </w:r>
            <w:r>
              <w:rPr>
                <w:rFonts w:asciiTheme="minorHAnsi" w:hAnsiTheme="minorHAnsi" w:cstheme="minorHAnsi"/>
                <w:szCs w:val="24"/>
              </w:rPr>
              <w:t xml:space="preserve">albo osobę fizyczną: 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nazwę firmy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albo imię i nazwisko.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1B6FEC3" w14:textId="77777777" w:rsidR="00D5344A" w:rsidRDefault="00D5344A" w:rsidP="00D5344A">
            <w:pPr>
              <w:spacing w:before="360" w:after="120" w:line="360" w:lineRule="auto"/>
              <w:ind w:left="14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171C8">
              <w:rPr>
                <w:rFonts w:asciiTheme="minorHAnsi" w:hAnsiTheme="minorHAnsi" w:cstheme="minorHAnsi"/>
                <w:b/>
                <w:szCs w:val="24"/>
              </w:rPr>
              <w:t>W przypadku osób fizycznych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171C8">
              <w:rPr>
                <w:rFonts w:asciiTheme="minorHAnsi" w:hAnsiTheme="minorHAnsi" w:cstheme="minorHAnsi"/>
                <w:szCs w:val="24"/>
              </w:rPr>
              <w:t>składających wycenę na potrzeby oszacowania wartości zamówienia</w:t>
            </w:r>
            <w:r>
              <w:rPr>
                <w:rFonts w:asciiTheme="minorHAnsi" w:hAnsiTheme="minorHAnsi" w:cstheme="minorHAnsi"/>
                <w:szCs w:val="24"/>
              </w:rPr>
              <w:t xml:space="preserve"> prosimy o zaznaczenie właściwego oświadczenia:</w:t>
            </w:r>
          </w:p>
          <w:p w14:paraId="6458293F" w14:textId="77777777" w:rsidR="00D5344A" w:rsidRPr="00FC3B89" w:rsidRDefault="00DD6BCB" w:rsidP="00D5344A">
            <w:pPr>
              <w:pStyle w:val="Akapitzlist"/>
              <w:numPr>
                <w:ilvl w:val="0"/>
                <w:numId w:val="46"/>
              </w:numPr>
              <w:spacing w:before="120" w:after="120" w:line="360" w:lineRule="auto"/>
              <w:ind w:left="866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Cs w:val="24"/>
                </w:rPr>
                <w:id w:val="-2491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4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5344A" w:rsidRPr="00FC3B89">
              <w:rPr>
                <w:rFonts w:asciiTheme="minorHAnsi" w:hAnsiTheme="minorHAnsi" w:cstheme="minorHAnsi"/>
                <w:szCs w:val="24"/>
              </w:rPr>
              <w:t xml:space="preserve"> Oświadczam, że prowadzę działalność gospodarczą.</w:t>
            </w:r>
          </w:p>
          <w:p w14:paraId="25334EC0" w14:textId="77777777" w:rsidR="00D5344A" w:rsidRPr="00FC3B89" w:rsidRDefault="00DD6BCB" w:rsidP="00D5344A">
            <w:pPr>
              <w:pStyle w:val="Akapitzlist"/>
              <w:numPr>
                <w:ilvl w:val="0"/>
                <w:numId w:val="46"/>
              </w:numPr>
              <w:spacing w:before="120" w:after="120" w:line="360" w:lineRule="auto"/>
              <w:ind w:left="866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Cs w:val="24"/>
                </w:rPr>
                <w:id w:val="10399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4A" w:rsidRPr="00FC3B8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5344A" w:rsidRPr="00FC3B89">
              <w:rPr>
                <w:rFonts w:asciiTheme="minorHAnsi" w:hAnsiTheme="minorHAnsi" w:cstheme="minorHAnsi"/>
                <w:szCs w:val="24"/>
              </w:rPr>
              <w:t xml:space="preserve"> Oświadczam, że nie prowadzę działalności gospodarczej.</w:t>
            </w:r>
          </w:p>
          <w:p w14:paraId="3025BB5D" w14:textId="77777777" w:rsidR="00D5344A" w:rsidRDefault="00D5344A" w:rsidP="00D5344A">
            <w:pPr>
              <w:spacing w:before="360" w:after="120" w:line="360" w:lineRule="auto"/>
              <w:ind w:left="147" w:hanging="11"/>
              <w:jc w:val="left"/>
              <w:rPr>
                <w:rFonts w:asciiTheme="minorHAnsi" w:hAnsiTheme="minorHAnsi" w:cstheme="minorHAnsi"/>
                <w:szCs w:val="24"/>
              </w:rPr>
            </w:pPr>
            <w:r w:rsidRPr="00055CF7">
              <w:rPr>
                <w:rFonts w:asciiTheme="minorHAnsi" w:hAnsiTheme="minorHAnsi" w:cstheme="minorHAnsi"/>
                <w:szCs w:val="24"/>
              </w:rPr>
              <w:t>SZACUNKOWE WYNAGRODZENIE</w:t>
            </w:r>
            <w:r>
              <w:rPr>
                <w:rFonts w:asciiTheme="minorHAnsi" w:hAnsiTheme="minorHAnsi" w:cstheme="minorHAnsi"/>
                <w:szCs w:val="24"/>
              </w:rPr>
              <w:t xml:space="preserve"> w wariancie B </w:t>
            </w:r>
            <w:r w:rsidRPr="00055CF7">
              <w:rPr>
                <w:rFonts w:asciiTheme="minorHAnsi" w:hAnsiTheme="minorHAnsi" w:cstheme="minorHAnsi"/>
                <w:szCs w:val="24"/>
              </w:rPr>
              <w:t>za ocenę 1 formularza konkursowego</w:t>
            </w:r>
            <w:r>
              <w:rPr>
                <w:rFonts w:asciiTheme="minorHAnsi" w:hAnsiTheme="minorHAnsi" w:cstheme="minorHAnsi"/>
                <w:szCs w:val="24"/>
              </w:rPr>
              <w:t xml:space="preserve"> w </w:t>
            </w:r>
            <w:r w:rsidRPr="00055CF7">
              <w:rPr>
                <w:rFonts w:asciiTheme="minorHAnsi" w:hAnsiTheme="minorHAnsi" w:cstheme="minorHAnsi"/>
                <w:szCs w:val="24"/>
              </w:rPr>
              <w:t>PLN (</w:t>
            </w:r>
            <w:r w:rsidRPr="00055CF7">
              <w:rPr>
                <w:rFonts w:asciiTheme="minorHAnsi" w:hAnsiTheme="minorHAnsi" w:cstheme="minorHAnsi"/>
                <w:b/>
                <w:szCs w:val="24"/>
              </w:rPr>
              <w:t>netto</w:t>
            </w:r>
            <w:r w:rsidRPr="00055CF7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14:paraId="04242DCD" w14:textId="77777777" w:rsidR="00D5344A" w:rsidRPr="00D5344A" w:rsidRDefault="00D5344A" w:rsidP="00D5344A">
            <w:pPr>
              <w:pStyle w:val="Akapitzlist"/>
              <w:numPr>
                <w:ilvl w:val="0"/>
                <w:numId w:val="48"/>
              </w:numPr>
              <w:spacing w:before="120" w:after="120" w:line="360" w:lineRule="auto"/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 w:rsidRPr="00D5344A">
              <w:rPr>
                <w:rFonts w:asciiTheme="minorHAnsi" w:hAnsiTheme="minorHAnsi" w:cstheme="minorHAnsi"/>
                <w:i/>
                <w:szCs w:val="24"/>
              </w:rPr>
              <w:t xml:space="preserve">Ocena formalna </w:t>
            </w:r>
            <w:r w:rsidRPr="00D5344A"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  <w:t>oraz</w:t>
            </w:r>
            <w:r w:rsidRPr="00D5344A">
              <w:rPr>
                <w:rFonts w:asciiTheme="minorHAnsi" w:hAnsiTheme="minorHAnsi" w:cstheme="minorHAnsi"/>
                <w:i/>
                <w:szCs w:val="24"/>
              </w:rPr>
              <w:t xml:space="preserve"> ocena merytoryczna pierwszego stopnia1 formularza konkursowego:</w:t>
            </w:r>
          </w:p>
          <w:p w14:paraId="7AFDB536" w14:textId="77777777" w:rsidR="00D5344A" w:rsidRPr="00CC597F" w:rsidRDefault="00D5344A" w:rsidP="00D5344A">
            <w:pPr>
              <w:spacing w:before="120" w:after="120" w:line="360" w:lineRule="auto"/>
              <w:ind w:left="814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szacunkowe wynagrodzenie w PLN netto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</w:p>
          <w:p w14:paraId="721DCB1B" w14:textId="77777777" w:rsidR="00D5344A" w:rsidRPr="00D5344A" w:rsidRDefault="00D5344A" w:rsidP="00D5344A">
            <w:pPr>
              <w:pStyle w:val="Akapitzlist"/>
              <w:numPr>
                <w:ilvl w:val="0"/>
                <w:numId w:val="48"/>
              </w:numPr>
              <w:spacing w:before="360" w:after="120"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D5344A">
              <w:rPr>
                <w:rFonts w:asciiTheme="minorHAnsi" w:hAnsiTheme="minorHAnsi" w:cstheme="minorHAnsi"/>
                <w:i/>
                <w:szCs w:val="24"/>
              </w:rPr>
              <w:t>Ocena merytoryczna pierwszego stopnia 1 formularza konkursowego:</w:t>
            </w:r>
          </w:p>
          <w:p w14:paraId="35CFE6E5" w14:textId="7C05B9A0" w:rsidR="00D5344A" w:rsidRDefault="00D5344A" w:rsidP="00D5344A">
            <w:pPr>
              <w:spacing w:before="360" w:after="120" w:line="360" w:lineRule="auto"/>
              <w:ind w:left="781" w:hanging="11"/>
              <w:jc w:val="left"/>
              <w:rPr>
                <w:rFonts w:asciiTheme="minorHAnsi" w:hAnsiTheme="minorHAnsi" w:cstheme="minorHAnsi"/>
                <w:szCs w:val="24"/>
              </w:rPr>
            </w:pPr>
            <w:r w:rsidRPr="00CC597F">
              <w:rPr>
                <w:rFonts w:asciiTheme="minorHAnsi" w:hAnsiTheme="minorHAnsi" w:cstheme="minorHAnsi"/>
                <w:b/>
                <w:szCs w:val="24"/>
              </w:rPr>
              <w:t>&lt;Tu wpisz szacunkowe wynagrodzenie w PLN netto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CC597F">
              <w:rPr>
                <w:rFonts w:asciiTheme="minorHAnsi" w:hAnsiTheme="minorHAnsi" w:cstheme="minorHAnsi"/>
                <w:b/>
                <w:szCs w:val="24"/>
              </w:rPr>
              <w:t>&gt;</w:t>
            </w:r>
          </w:p>
        </w:tc>
      </w:tr>
    </w:tbl>
    <w:p w14:paraId="76C016EE" w14:textId="1F21766C" w:rsidR="008A7B59" w:rsidRPr="00055CF7" w:rsidRDefault="008A7B59" w:rsidP="00CA64DC">
      <w:pPr>
        <w:spacing w:after="120"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bookmarkStart w:id="1" w:name="RANGE!A1:G50"/>
      <w:bookmarkEnd w:id="1"/>
    </w:p>
    <w:sectPr w:rsidR="008A7B59" w:rsidRPr="00055CF7" w:rsidSect="00CA64DC">
      <w:headerReference w:type="default" r:id="rId12"/>
      <w:pgSz w:w="11906" w:h="16838"/>
      <w:pgMar w:top="1418" w:right="1418" w:bottom="1701" w:left="1418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BD0B" w14:textId="77777777" w:rsidR="007740AA" w:rsidRDefault="007740AA">
      <w:pPr>
        <w:spacing w:after="0" w:line="240" w:lineRule="auto"/>
      </w:pPr>
      <w:r>
        <w:separator/>
      </w:r>
    </w:p>
  </w:endnote>
  <w:endnote w:type="continuationSeparator" w:id="0">
    <w:p w14:paraId="6F7C3ABA" w14:textId="77777777" w:rsidR="007740AA" w:rsidRDefault="0077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1DC4" w14:textId="77777777" w:rsidR="007740AA" w:rsidRDefault="007740AA">
      <w:pPr>
        <w:spacing w:after="0" w:line="351" w:lineRule="auto"/>
        <w:ind w:left="0" w:firstLine="0"/>
      </w:pPr>
      <w:r>
        <w:separator/>
      </w:r>
    </w:p>
  </w:footnote>
  <w:footnote w:type="continuationSeparator" w:id="0">
    <w:p w14:paraId="62EA577D" w14:textId="77777777" w:rsidR="007740AA" w:rsidRDefault="007740AA">
      <w:pPr>
        <w:spacing w:after="0" w:line="351" w:lineRule="auto"/>
        <w:ind w:left="0" w:firstLine="0"/>
      </w:pPr>
      <w:r>
        <w:continuationSeparator/>
      </w:r>
    </w:p>
  </w:footnote>
  <w:footnote w:id="1">
    <w:p w14:paraId="0C4F4210" w14:textId="77777777" w:rsidR="007740AA" w:rsidRDefault="007740AA" w:rsidP="0024611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 Więcej informacji o systemie sektorowych rad ds. kompetencji znaleźć można na stronie internetowej </w:t>
      </w:r>
      <w:hyperlink r:id="rId1" w:history="1">
        <w:r w:rsidRPr="003F2A22">
          <w:rPr>
            <w:rStyle w:val="Hipercze"/>
          </w:rPr>
          <w:t>https://www.parp.gov.pl/component/site/site/sektorowe-rady-ds-kompetencji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951810"/>
      <w:docPartObj>
        <w:docPartGallery w:val="Page Numbers (Top of Page)"/>
        <w:docPartUnique/>
      </w:docPartObj>
    </w:sdtPr>
    <w:sdtEndPr/>
    <w:sdtContent>
      <w:p w14:paraId="4372F97B" w14:textId="2EA1EFAE" w:rsidR="00CA64DC" w:rsidRDefault="00CA64D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BCB">
          <w:rPr>
            <w:noProof/>
          </w:rPr>
          <w:t>9</w:t>
        </w:r>
        <w:r>
          <w:fldChar w:fldCharType="end"/>
        </w:r>
      </w:p>
    </w:sdtContent>
  </w:sdt>
  <w:p w14:paraId="5C97E9BC" w14:textId="77777777" w:rsidR="00CA64DC" w:rsidRDefault="00CA6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02A"/>
    <w:multiLevelType w:val="hybridMultilevel"/>
    <w:tmpl w:val="68B2CBEE"/>
    <w:lvl w:ilvl="0" w:tplc="A72EF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AE2"/>
    <w:multiLevelType w:val="hybridMultilevel"/>
    <w:tmpl w:val="EAF436C0"/>
    <w:lvl w:ilvl="0" w:tplc="E34EA7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05CD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63A28">
      <w:start w:val="1"/>
      <w:numFmt w:val="lowerRoman"/>
      <w:lvlRestart w:val="0"/>
      <w:lvlText w:val="(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5CE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4200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87BB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CD99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A11C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24C0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04F4A"/>
    <w:multiLevelType w:val="hybridMultilevel"/>
    <w:tmpl w:val="19FC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8F2"/>
    <w:multiLevelType w:val="hybridMultilevel"/>
    <w:tmpl w:val="C4B617C2"/>
    <w:lvl w:ilvl="0" w:tplc="A9AA70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493"/>
    <w:multiLevelType w:val="hybridMultilevel"/>
    <w:tmpl w:val="735ADE5C"/>
    <w:lvl w:ilvl="0" w:tplc="28EA00A0">
      <w:start w:val="1"/>
      <w:numFmt w:val="upperRoman"/>
      <w:pStyle w:val="Podtytu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B46"/>
    <w:multiLevelType w:val="hybridMultilevel"/>
    <w:tmpl w:val="FF2855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33DDC"/>
    <w:multiLevelType w:val="hybridMultilevel"/>
    <w:tmpl w:val="B9462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32AE"/>
    <w:multiLevelType w:val="hybridMultilevel"/>
    <w:tmpl w:val="00B20B7A"/>
    <w:lvl w:ilvl="0" w:tplc="898C3D3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09504">
      <w:start w:val="1"/>
      <w:numFmt w:val="bullet"/>
      <w:lvlText w:val="-"/>
      <w:lvlJc w:val="left"/>
      <w:pPr>
        <w:ind w:left="108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C1FB2">
      <w:start w:val="1"/>
      <w:numFmt w:val="bullet"/>
      <w:lvlText w:val="▪"/>
      <w:lvlJc w:val="left"/>
      <w:pPr>
        <w:ind w:left="180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A9124">
      <w:start w:val="1"/>
      <w:numFmt w:val="bullet"/>
      <w:lvlText w:val="•"/>
      <w:lvlJc w:val="left"/>
      <w:pPr>
        <w:ind w:left="252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6EC64">
      <w:start w:val="1"/>
      <w:numFmt w:val="bullet"/>
      <w:lvlText w:val="o"/>
      <w:lvlJc w:val="left"/>
      <w:pPr>
        <w:ind w:left="324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892B6">
      <w:start w:val="1"/>
      <w:numFmt w:val="bullet"/>
      <w:lvlText w:val="▪"/>
      <w:lvlJc w:val="left"/>
      <w:pPr>
        <w:ind w:left="396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C3BE6">
      <w:start w:val="1"/>
      <w:numFmt w:val="bullet"/>
      <w:lvlText w:val="•"/>
      <w:lvlJc w:val="left"/>
      <w:pPr>
        <w:ind w:left="468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6652">
      <w:start w:val="1"/>
      <w:numFmt w:val="bullet"/>
      <w:lvlText w:val="o"/>
      <w:lvlJc w:val="left"/>
      <w:pPr>
        <w:ind w:left="540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E56F6">
      <w:start w:val="1"/>
      <w:numFmt w:val="bullet"/>
      <w:lvlText w:val="▪"/>
      <w:lvlJc w:val="left"/>
      <w:pPr>
        <w:ind w:left="612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6C3EF7"/>
    <w:multiLevelType w:val="hybridMultilevel"/>
    <w:tmpl w:val="8F38005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8744F0"/>
    <w:multiLevelType w:val="hybridMultilevel"/>
    <w:tmpl w:val="C100A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55AA4"/>
    <w:multiLevelType w:val="hybridMultilevel"/>
    <w:tmpl w:val="3FDC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66E"/>
    <w:multiLevelType w:val="hybridMultilevel"/>
    <w:tmpl w:val="563CA222"/>
    <w:lvl w:ilvl="0" w:tplc="87FA24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7DC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C23F4">
      <w:start w:val="1"/>
      <w:numFmt w:val="lowerRoman"/>
      <w:lvlRestart w:val="0"/>
      <w:lvlText w:val="(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E738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6ABC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356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44D3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AC6C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8B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31484"/>
    <w:multiLevelType w:val="hybridMultilevel"/>
    <w:tmpl w:val="F246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47411"/>
    <w:multiLevelType w:val="hybridMultilevel"/>
    <w:tmpl w:val="232E2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D4F6C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50549AD"/>
    <w:multiLevelType w:val="hybridMultilevel"/>
    <w:tmpl w:val="5B6C9236"/>
    <w:lvl w:ilvl="0" w:tplc="B42A37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6445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72E0">
      <w:start w:val="4"/>
      <w:numFmt w:val="lowerRoman"/>
      <w:lvlRestart w:val="0"/>
      <w:lvlText w:val="(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6827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C38E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21BC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4041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2273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C7DF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D154E0"/>
    <w:multiLevelType w:val="hybridMultilevel"/>
    <w:tmpl w:val="BF3AB7F8"/>
    <w:lvl w:ilvl="0" w:tplc="144E728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8A3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6A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46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20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8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C8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07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F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8F344C"/>
    <w:multiLevelType w:val="multilevel"/>
    <w:tmpl w:val="17D0E910"/>
    <w:lvl w:ilvl="0">
      <w:numFmt w:val="bullet"/>
      <w:lvlText w:val="•"/>
      <w:lvlJc w:val="left"/>
      <w:pPr>
        <w:ind w:left="1113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1800"/>
      </w:pPr>
      <w:rPr>
        <w:rFonts w:hint="default"/>
      </w:rPr>
    </w:lvl>
  </w:abstractNum>
  <w:abstractNum w:abstractNumId="18" w15:restartNumberingAfterBreak="0">
    <w:nsid w:val="3FA01D6E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18129C4"/>
    <w:multiLevelType w:val="hybridMultilevel"/>
    <w:tmpl w:val="F0F21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6640B"/>
    <w:multiLevelType w:val="hybridMultilevel"/>
    <w:tmpl w:val="96B633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333489B"/>
    <w:multiLevelType w:val="hybridMultilevel"/>
    <w:tmpl w:val="FAE48DC4"/>
    <w:lvl w:ilvl="0" w:tplc="1E68F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8904AD"/>
    <w:multiLevelType w:val="hybridMultilevel"/>
    <w:tmpl w:val="2FB6DD8A"/>
    <w:lvl w:ilvl="0" w:tplc="85A485C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C2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AB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AE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0A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61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CC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E3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08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F6ADF"/>
    <w:multiLevelType w:val="hybridMultilevel"/>
    <w:tmpl w:val="ADA4D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E2B9A"/>
    <w:multiLevelType w:val="hybridMultilevel"/>
    <w:tmpl w:val="017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1FC3"/>
    <w:multiLevelType w:val="hybridMultilevel"/>
    <w:tmpl w:val="51FEFAD2"/>
    <w:lvl w:ilvl="0" w:tplc="22382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B33D0"/>
    <w:multiLevelType w:val="hybridMultilevel"/>
    <w:tmpl w:val="FDE262F0"/>
    <w:lvl w:ilvl="0" w:tplc="06FEAF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A382E">
      <w:start w:val="1"/>
      <w:numFmt w:val="lowerRoman"/>
      <w:lvlText w:val="(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CD15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8FB6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0CDD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AA44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4863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8CC5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A6FE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0838DA"/>
    <w:multiLevelType w:val="hybridMultilevel"/>
    <w:tmpl w:val="96304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B6DC4"/>
    <w:multiLevelType w:val="hybridMultilevel"/>
    <w:tmpl w:val="97925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D3D5C"/>
    <w:multiLevelType w:val="hybridMultilevel"/>
    <w:tmpl w:val="86282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4483D"/>
    <w:multiLevelType w:val="hybridMultilevel"/>
    <w:tmpl w:val="456A5FF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D72DC9"/>
    <w:multiLevelType w:val="hybridMultilevel"/>
    <w:tmpl w:val="4418C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1432E75"/>
    <w:multiLevelType w:val="hybridMultilevel"/>
    <w:tmpl w:val="01FA3EA6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5348B3"/>
    <w:multiLevelType w:val="hybridMultilevel"/>
    <w:tmpl w:val="567AF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0252"/>
    <w:multiLevelType w:val="hybridMultilevel"/>
    <w:tmpl w:val="8A8EFA80"/>
    <w:lvl w:ilvl="0" w:tplc="8EE6A34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A34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C2F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C2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A3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D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A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86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88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E877CC"/>
    <w:multiLevelType w:val="hybridMultilevel"/>
    <w:tmpl w:val="4BB4B07E"/>
    <w:lvl w:ilvl="0" w:tplc="66924D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4ED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089C0">
      <w:start w:val="1"/>
      <w:numFmt w:val="lowerRoman"/>
      <w:lvlRestart w:val="0"/>
      <w:lvlText w:val="(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4888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4037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6653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C812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14C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8DA3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BE7D91"/>
    <w:multiLevelType w:val="hybridMultilevel"/>
    <w:tmpl w:val="44E2E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4463B"/>
    <w:multiLevelType w:val="hybridMultilevel"/>
    <w:tmpl w:val="1C7AC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65FB"/>
    <w:multiLevelType w:val="hybridMultilevel"/>
    <w:tmpl w:val="450C5536"/>
    <w:lvl w:ilvl="0" w:tplc="503224C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0B0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06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24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A8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49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AC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29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850C22"/>
    <w:multiLevelType w:val="hybridMultilevel"/>
    <w:tmpl w:val="5ACEE6AA"/>
    <w:lvl w:ilvl="0" w:tplc="22382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3FED"/>
    <w:multiLevelType w:val="multilevel"/>
    <w:tmpl w:val="C2FA6E5A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1800"/>
      </w:pPr>
      <w:rPr>
        <w:rFonts w:hint="default"/>
      </w:rPr>
    </w:lvl>
  </w:abstractNum>
  <w:abstractNum w:abstractNumId="41" w15:restartNumberingAfterBreak="0">
    <w:nsid w:val="6F637263"/>
    <w:multiLevelType w:val="multilevel"/>
    <w:tmpl w:val="33665CA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EF7E57"/>
    <w:multiLevelType w:val="hybridMultilevel"/>
    <w:tmpl w:val="E43C8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61E68"/>
    <w:multiLevelType w:val="hybridMultilevel"/>
    <w:tmpl w:val="69844CF0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4" w15:restartNumberingAfterBreak="0">
    <w:nsid w:val="71313FFF"/>
    <w:multiLevelType w:val="hybridMultilevel"/>
    <w:tmpl w:val="B13611E2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5" w15:restartNumberingAfterBreak="0">
    <w:nsid w:val="78CC76DA"/>
    <w:multiLevelType w:val="hybridMultilevel"/>
    <w:tmpl w:val="6346C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73C93"/>
    <w:multiLevelType w:val="hybridMultilevel"/>
    <w:tmpl w:val="01DCCE18"/>
    <w:lvl w:ilvl="0" w:tplc="FCBEB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0ABE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69C74">
      <w:start w:val="1"/>
      <w:numFmt w:val="lowerRoman"/>
      <w:lvlRestart w:val="0"/>
      <w:lvlText w:val="(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49AB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C76A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08C9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A9A1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0067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EE35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B0567C"/>
    <w:multiLevelType w:val="hybridMultilevel"/>
    <w:tmpl w:val="22649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41"/>
  </w:num>
  <w:num w:numId="4">
    <w:abstractNumId w:val="34"/>
  </w:num>
  <w:num w:numId="5">
    <w:abstractNumId w:val="46"/>
  </w:num>
  <w:num w:numId="6">
    <w:abstractNumId w:val="11"/>
  </w:num>
  <w:num w:numId="7">
    <w:abstractNumId w:val="16"/>
  </w:num>
  <w:num w:numId="8">
    <w:abstractNumId w:val="1"/>
  </w:num>
  <w:num w:numId="9">
    <w:abstractNumId w:val="15"/>
  </w:num>
  <w:num w:numId="10">
    <w:abstractNumId w:val="35"/>
  </w:num>
  <w:num w:numId="11">
    <w:abstractNumId w:val="7"/>
  </w:num>
  <w:num w:numId="12">
    <w:abstractNumId w:val="26"/>
  </w:num>
  <w:num w:numId="13">
    <w:abstractNumId w:val="6"/>
  </w:num>
  <w:num w:numId="14">
    <w:abstractNumId w:val="28"/>
  </w:num>
  <w:num w:numId="15">
    <w:abstractNumId w:val="24"/>
  </w:num>
  <w:num w:numId="16">
    <w:abstractNumId w:val="31"/>
  </w:num>
  <w:num w:numId="17">
    <w:abstractNumId w:val="37"/>
  </w:num>
  <w:num w:numId="18">
    <w:abstractNumId w:val="19"/>
  </w:num>
  <w:num w:numId="19">
    <w:abstractNumId w:val="25"/>
  </w:num>
  <w:num w:numId="20">
    <w:abstractNumId w:val="39"/>
  </w:num>
  <w:num w:numId="21">
    <w:abstractNumId w:val="44"/>
  </w:num>
  <w:num w:numId="22">
    <w:abstractNumId w:val="23"/>
  </w:num>
  <w:num w:numId="23">
    <w:abstractNumId w:val="42"/>
  </w:num>
  <w:num w:numId="24">
    <w:abstractNumId w:val="21"/>
  </w:num>
  <w:num w:numId="25">
    <w:abstractNumId w:val="43"/>
  </w:num>
  <w:num w:numId="26">
    <w:abstractNumId w:val="32"/>
  </w:num>
  <w:num w:numId="27">
    <w:abstractNumId w:val="3"/>
  </w:num>
  <w:num w:numId="28">
    <w:abstractNumId w:val="12"/>
  </w:num>
  <w:num w:numId="29">
    <w:abstractNumId w:val="9"/>
  </w:num>
  <w:num w:numId="30">
    <w:abstractNumId w:val="10"/>
  </w:num>
  <w:num w:numId="31">
    <w:abstractNumId w:val="40"/>
  </w:num>
  <w:num w:numId="32">
    <w:abstractNumId w:val="17"/>
  </w:num>
  <w:num w:numId="33">
    <w:abstractNumId w:val="45"/>
  </w:num>
  <w:num w:numId="34">
    <w:abstractNumId w:val="36"/>
  </w:num>
  <w:num w:numId="35">
    <w:abstractNumId w:val="30"/>
  </w:num>
  <w:num w:numId="36">
    <w:abstractNumId w:val="5"/>
  </w:num>
  <w:num w:numId="37">
    <w:abstractNumId w:val="0"/>
  </w:num>
  <w:num w:numId="38">
    <w:abstractNumId w:val="2"/>
  </w:num>
  <w:num w:numId="39">
    <w:abstractNumId w:val="8"/>
  </w:num>
  <w:num w:numId="40">
    <w:abstractNumId w:val="27"/>
  </w:num>
  <w:num w:numId="41">
    <w:abstractNumId w:val="29"/>
  </w:num>
  <w:num w:numId="42">
    <w:abstractNumId w:val="13"/>
  </w:num>
  <w:num w:numId="43">
    <w:abstractNumId w:val="47"/>
  </w:num>
  <w:num w:numId="44">
    <w:abstractNumId w:val="4"/>
  </w:num>
  <w:num w:numId="45">
    <w:abstractNumId w:val="4"/>
  </w:num>
  <w:num w:numId="46">
    <w:abstractNumId w:val="20"/>
  </w:num>
  <w:num w:numId="47">
    <w:abstractNumId w:val="18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BF"/>
    <w:rsid w:val="000074B9"/>
    <w:rsid w:val="00023F03"/>
    <w:rsid w:val="00055CF7"/>
    <w:rsid w:val="00070D92"/>
    <w:rsid w:val="00073E15"/>
    <w:rsid w:val="00086FC4"/>
    <w:rsid w:val="00087608"/>
    <w:rsid w:val="00090EAC"/>
    <w:rsid w:val="000A07BD"/>
    <w:rsid w:val="000B11A4"/>
    <w:rsid w:val="00105B1A"/>
    <w:rsid w:val="00125896"/>
    <w:rsid w:val="0017198F"/>
    <w:rsid w:val="001A6BA5"/>
    <w:rsid w:val="001B0DAD"/>
    <w:rsid w:val="001D2193"/>
    <w:rsid w:val="001D7BA9"/>
    <w:rsid w:val="001E5D11"/>
    <w:rsid w:val="001F4AE6"/>
    <w:rsid w:val="001F593F"/>
    <w:rsid w:val="002000B9"/>
    <w:rsid w:val="00211BB3"/>
    <w:rsid w:val="00227AF6"/>
    <w:rsid w:val="00246119"/>
    <w:rsid w:val="002601DA"/>
    <w:rsid w:val="00267117"/>
    <w:rsid w:val="002A0616"/>
    <w:rsid w:val="002A48B5"/>
    <w:rsid w:val="002D4D28"/>
    <w:rsid w:val="002F53D8"/>
    <w:rsid w:val="00345DBF"/>
    <w:rsid w:val="003A047D"/>
    <w:rsid w:val="003A0AA7"/>
    <w:rsid w:val="003B57AD"/>
    <w:rsid w:val="003E45EE"/>
    <w:rsid w:val="003F54CB"/>
    <w:rsid w:val="004B6DE7"/>
    <w:rsid w:val="004C65CE"/>
    <w:rsid w:val="004E1E2E"/>
    <w:rsid w:val="004E43F8"/>
    <w:rsid w:val="004F317A"/>
    <w:rsid w:val="005033D0"/>
    <w:rsid w:val="005178FE"/>
    <w:rsid w:val="00527044"/>
    <w:rsid w:val="005A0D11"/>
    <w:rsid w:val="005E26D4"/>
    <w:rsid w:val="005F53B0"/>
    <w:rsid w:val="006747C1"/>
    <w:rsid w:val="00696094"/>
    <w:rsid w:val="00697E0D"/>
    <w:rsid w:val="006C2F6A"/>
    <w:rsid w:val="006D7078"/>
    <w:rsid w:val="0071302F"/>
    <w:rsid w:val="00753FC1"/>
    <w:rsid w:val="00760E3F"/>
    <w:rsid w:val="00762EAB"/>
    <w:rsid w:val="007740AA"/>
    <w:rsid w:val="007A6459"/>
    <w:rsid w:val="007A6F36"/>
    <w:rsid w:val="007C21FB"/>
    <w:rsid w:val="007C3DA0"/>
    <w:rsid w:val="007C7C73"/>
    <w:rsid w:val="007D2072"/>
    <w:rsid w:val="007F35CF"/>
    <w:rsid w:val="00801A62"/>
    <w:rsid w:val="00812124"/>
    <w:rsid w:val="008213B6"/>
    <w:rsid w:val="00842E77"/>
    <w:rsid w:val="00872798"/>
    <w:rsid w:val="008A7B59"/>
    <w:rsid w:val="008E124B"/>
    <w:rsid w:val="008E64F9"/>
    <w:rsid w:val="008E72AC"/>
    <w:rsid w:val="008F266E"/>
    <w:rsid w:val="008F5E65"/>
    <w:rsid w:val="0090353F"/>
    <w:rsid w:val="009171C8"/>
    <w:rsid w:val="00940FEF"/>
    <w:rsid w:val="00957012"/>
    <w:rsid w:val="009656D3"/>
    <w:rsid w:val="0097282B"/>
    <w:rsid w:val="009C4AA1"/>
    <w:rsid w:val="009D3190"/>
    <w:rsid w:val="009E0BD4"/>
    <w:rsid w:val="00A46997"/>
    <w:rsid w:val="00A869F2"/>
    <w:rsid w:val="00A96466"/>
    <w:rsid w:val="00AA0062"/>
    <w:rsid w:val="00AB5498"/>
    <w:rsid w:val="00AD2DD7"/>
    <w:rsid w:val="00AF5F77"/>
    <w:rsid w:val="00B25581"/>
    <w:rsid w:val="00B45217"/>
    <w:rsid w:val="00B61039"/>
    <w:rsid w:val="00B90109"/>
    <w:rsid w:val="00BA4907"/>
    <w:rsid w:val="00BB6962"/>
    <w:rsid w:val="00BC4031"/>
    <w:rsid w:val="00C124B3"/>
    <w:rsid w:val="00C125D9"/>
    <w:rsid w:val="00C1329C"/>
    <w:rsid w:val="00C348F5"/>
    <w:rsid w:val="00C52F62"/>
    <w:rsid w:val="00C530DC"/>
    <w:rsid w:val="00C61CE5"/>
    <w:rsid w:val="00C7107D"/>
    <w:rsid w:val="00C851C4"/>
    <w:rsid w:val="00CA64DC"/>
    <w:rsid w:val="00CC597F"/>
    <w:rsid w:val="00CE0462"/>
    <w:rsid w:val="00D41662"/>
    <w:rsid w:val="00D5344A"/>
    <w:rsid w:val="00D5588F"/>
    <w:rsid w:val="00D5621A"/>
    <w:rsid w:val="00D605F0"/>
    <w:rsid w:val="00D6268C"/>
    <w:rsid w:val="00D6609C"/>
    <w:rsid w:val="00D7112B"/>
    <w:rsid w:val="00D95C67"/>
    <w:rsid w:val="00D96228"/>
    <w:rsid w:val="00DD6BCB"/>
    <w:rsid w:val="00E44C5E"/>
    <w:rsid w:val="00E52988"/>
    <w:rsid w:val="00E87DA4"/>
    <w:rsid w:val="00E972AC"/>
    <w:rsid w:val="00EC2C26"/>
    <w:rsid w:val="00ED154F"/>
    <w:rsid w:val="00F31A27"/>
    <w:rsid w:val="00F43132"/>
    <w:rsid w:val="00F52554"/>
    <w:rsid w:val="00F64816"/>
    <w:rsid w:val="00F71BE6"/>
    <w:rsid w:val="00F72F88"/>
    <w:rsid w:val="00FB1530"/>
    <w:rsid w:val="00FC3B89"/>
    <w:rsid w:val="00FD54F6"/>
    <w:rsid w:val="00FE37AC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C2F57A9"/>
  <w15:docId w15:val="{6B2EDD06-6C9C-47CD-88CC-6AA1F33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1A4"/>
    <w:pPr>
      <w:spacing w:after="132" w:line="266" w:lineRule="auto"/>
      <w:ind w:left="10" w:hanging="10"/>
      <w:jc w:val="both"/>
    </w:pPr>
    <w:rPr>
      <w:rFonts w:ascii="Calibri" w:eastAsia="Times New Roman" w:hAnsi="Calibri" w:cs="Times New Roman"/>
      <w:color w:val="000000"/>
      <w:sz w:val="24"/>
    </w:rPr>
  </w:style>
  <w:style w:type="paragraph" w:styleId="Nagwek1">
    <w:name w:val="heading 1"/>
    <w:basedOn w:val="Podtytu"/>
    <w:next w:val="Normalny"/>
    <w:link w:val="Nagwek1Znak"/>
    <w:uiPriority w:val="99"/>
    <w:unhideWhenUsed/>
    <w:qFormat/>
    <w:rsid w:val="007F35CF"/>
    <w:pPr>
      <w:ind w:left="709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F88"/>
    <w:pPr>
      <w:keepNext/>
      <w:keepLines/>
      <w:spacing w:before="720" w:after="120" w:line="360" w:lineRule="auto"/>
      <w:ind w:left="425" w:hanging="11"/>
      <w:jc w:val="left"/>
      <w:outlineLvl w:val="1"/>
    </w:pPr>
    <w:rPr>
      <w:rFonts w:asciiTheme="minorHAnsi" w:eastAsiaTheme="majorEastAsia" w:hAnsiTheme="min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F35CF"/>
    <w:rPr>
      <w:rFonts w:cstheme="minorHAnsi"/>
      <w:b/>
      <w:spacing w:val="15"/>
      <w:sz w:val="28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5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C3DA0"/>
    <w:pPr>
      <w:spacing w:before="600" w:after="600" w:line="360" w:lineRule="auto"/>
      <w:ind w:left="11" w:hanging="11"/>
      <w:contextualSpacing/>
      <w:jc w:val="center"/>
    </w:pPr>
    <w:rPr>
      <w:rFonts w:asciiTheme="minorHAnsi" w:eastAsiaTheme="majorEastAsia" w:hAnsiTheme="minorHAnsi" w:cstheme="minorHAnsi"/>
      <w:b/>
      <w:color w:val="auto"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C3DA0"/>
    <w:rPr>
      <w:rFonts w:eastAsiaTheme="majorEastAsia" w:cstheme="minorHAnsi"/>
      <w:b/>
      <w:spacing w:val="-10"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FB1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6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41662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0B9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3E45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A04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A006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869F2"/>
    <w:rPr>
      <w:rFonts w:ascii="Times New Roman" w:hAnsi="Times New Roman"/>
      <w:szCs w:val="24"/>
    </w:rPr>
  </w:style>
  <w:style w:type="character" w:styleId="Odwoanieprzypisudolnego">
    <w:name w:val="footnote reference"/>
    <w:uiPriority w:val="99"/>
    <w:rsid w:val="00A869F2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B1A"/>
    <w:rPr>
      <w:rFonts w:ascii="Calibri" w:eastAsia="Times New Roman" w:hAnsi="Calibr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B1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121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2124"/>
    <w:rPr>
      <w:rFonts w:ascii="Calibri" w:eastAsia="Times New Roman" w:hAnsi="Calibri" w:cs="Times New Roman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D2072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117"/>
    <w:pPr>
      <w:numPr>
        <w:numId w:val="44"/>
      </w:numPr>
      <w:spacing w:before="360" w:after="360"/>
    </w:pPr>
    <w:rPr>
      <w:rFonts w:asciiTheme="minorHAnsi" w:eastAsiaTheme="minorEastAsia" w:hAnsiTheme="minorHAnsi" w:cstheme="minorHAnsi"/>
      <w:b/>
      <w:color w:val="auto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67117"/>
    <w:rPr>
      <w:rFonts w:cstheme="minorHAnsi"/>
      <w:b/>
      <w:spacing w:val="15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2F88"/>
    <w:rPr>
      <w:rFonts w:eastAsiaTheme="majorEastAsia" w:cstheme="majorBidi"/>
      <w:b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9171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codawca_jutra@par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content/article/57597:poznalismy-pracodawcow-najlepiej-dbajacych-o-rozwoj-swoich-kadr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codawca_jutra@parp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.gov.pl/component/site/site/sektorowe-rady-ds-kompeten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4FB8-115D-4C01-ADDC-28CBCED0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9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ekspercką usługę oceny zgłoszeń w konkursie „pracodawca jutra 2021”.</vt:lpstr>
    </vt:vector>
  </TitlesOfParts>
  <Company>Polska Agencja Rozwoju Przedsiębiorczości</Company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ekspercką usługę oceny zgłoszeń w konkursie „pracodawca jutra 2021”.</dc:title>
  <dc:subject/>
  <dc:creator>Daniel Nowak</dc:creator>
  <cp:keywords>PL; PARP</cp:keywords>
  <dc:description/>
  <cp:lastModifiedBy>Daniel Nowak</cp:lastModifiedBy>
  <cp:revision>31</cp:revision>
  <dcterms:created xsi:type="dcterms:W3CDTF">2021-08-20T09:36:00Z</dcterms:created>
  <dcterms:modified xsi:type="dcterms:W3CDTF">2021-08-27T10:53:00Z</dcterms:modified>
</cp:coreProperties>
</file>